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FA8C">
      <w:pPr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山西大学图书情报硕士专业学位授权点建设年度报告（2023年）</w:t>
      </w:r>
    </w:p>
    <w:p w14:paraId="3B56651A">
      <w:pPr>
        <w:jc w:val="center"/>
        <w:rPr>
          <w:rFonts w:hint="eastAsia" w:ascii="仿宋" w:hAnsi="仿宋" w:eastAsia="仿宋" w:cs="仿宋"/>
          <w:szCs w:val="21"/>
        </w:rPr>
      </w:pPr>
    </w:p>
    <w:p w14:paraId="54A22E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学位授权点基本情况</w:t>
      </w:r>
    </w:p>
    <w:p w14:paraId="12976B22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西大学图书情报硕士专业学位于2010年获得授权，是山西省最早获批的院校。当前依托山西大学经济与管理学院学科大平台，融合管理、经济、计算机等学科知识，结合专业硕士的社会实际需求，形成了稳定的、特色鲜明的三个培养方向。本专业学位</w:t>
      </w:r>
      <w:r>
        <w:rPr>
          <w:rFonts w:hint="eastAsia" w:ascii="仿宋" w:hAnsi="仿宋" w:eastAsia="仿宋" w:cs="仿宋"/>
          <w:sz w:val="32"/>
          <w:szCs w:val="32"/>
          <w:lang w:eastAsia="zh"/>
          <w:woUserID w:val="1"/>
        </w:rPr>
        <w:t>授权点</w:t>
      </w:r>
      <w:r>
        <w:rPr>
          <w:rFonts w:hint="eastAsia" w:ascii="仿宋" w:hAnsi="仿宋" w:eastAsia="仿宋" w:cs="仿宋"/>
          <w:sz w:val="32"/>
          <w:szCs w:val="32"/>
        </w:rPr>
        <w:t>拥有一支学术水平高、实践经验丰富的导师队伍，在培养中切实落实双导师制，实现学生研究-实践技能双提升。本专业学位点有着很好的历史沉淀，有着优良的教风，人才培养质量不断提升，就业率高，就业质量优良。</w:t>
      </w:r>
    </w:p>
    <w:p w14:paraId="2DA833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研究方向</w:t>
      </w:r>
    </w:p>
    <w:p w14:paraId="7EADA6A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当前依据学科研究热点与前沿形成了三个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方向：数据分析与决策支持，为学科支撑，以定量方法为特色，主要研究内容包括大数据管理、数据分析与挖掘、数据治理、计量和评价；知识组织与数字人文，为学科特色，与山西大学图书馆等院所合作，利用本体、关联数据、RDF、知识图谱与数字化发现等方法进行研究，形成对晋商学、云冈学、各类文化遗产等的开发利用；竞争情报与信息服务，为学科服务社会的主要途径，面向馆舍与企业，利用信息分析工具进行分析，以管理咨询服务、辅助决策为主要途径，服务企事业单位发展。</w:t>
      </w:r>
    </w:p>
    <w:p w14:paraId="2BC74A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培养方向</w:t>
      </w:r>
    </w:p>
    <w:p w14:paraId="24594EB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依据大数据人工智能时代新特点，本学位点设立三个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培养</w:t>
      </w:r>
      <w:r>
        <w:rPr>
          <w:rFonts w:hint="eastAsia" w:ascii="仿宋" w:hAnsi="仿宋" w:eastAsia="仿宋" w:cs="仿宋"/>
          <w:sz w:val="32"/>
          <w:szCs w:val="32"/>
        </w:rPr>
        <w:t>方向：情报学，重点研究数据分析与决策支持、个人数据保护、机器学习与数据挖掘等领域；数字人文，重点研究信息组织与知识图谱、古建筑保护、旅游景区开发等领域，彰显晋商特色；图书馆学，主要包括图书馆服务质量与评价、图书馆用户信息行为智能识别及智慧化服务等领域。</w:t>
      </w:r>
    </w:p>
    <w:p w14:paraId="1A78C4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师资队伍</w:t>
      </w:r>
    </w:p>
    <w:p w14:paraId="716DA56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:woUserID w:val="2"/>
        </w:rPr>
        <w:t>本专业学位现有校内导师15位，校外导师15位，共30位，其中27位都具有高级职称。教师队伍中，老、中、青结合，校内导师中45岁以下9人，年富力强，经验丰富，有很好的发展潜力。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目前有山西省高等学校优秀青年学术带头人1人、山西省高等学校131领军人才工程1人、中国管理科学学会特约研究员1人、中国科技情报学会理事1人。   </w:t>
      </w:r>
    </w:p>
    <w:p w14:paraId="10CFD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培养条件</w:t>
      </w:r>
    </w:p>
    <w:p w14:paraId="2A0683A4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拥有“一体两翼三核”的科研平台体系和充足的科研经费。以教育部“三全育人”综合改革试点院育人平台为统领（即一体），依托“山西数字人文研究院/山西数字出版研发中心”、“山西大学管理与决策研究中心”两个省级研究基地（即两翼），打造“山西大学科学评价研究中心”“数据分析与数字人文实验室”，“政策仿真与决策支持实验室”三个研发机构（即三核），实现师生共创，为学位点人才培养奠定坚实平台基础。2023年拥有学科建设经费25万。为学位点的科研活动开展奠定良好的基础。</w:t>
      </w:r>
    </w:p>
    <w:p w14:paraId="088115B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2、已签约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个实习基地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山西省图书馆、山西省科学技术情报研究所、山西同方知网数字出版技术有限公司、山西大学图书馆、太原市图书馆、山西省委党校图书馆。拥有省级及以上单位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，企事业单位结合，每年接收30-40名专业硕士进行至少半年的实践。实践基地拥有大量的中外文图书、报纸、期刊杂志等实体与虚拟馆藏资源，拥有大量的专业电子数据库资源，拥有完整规范的读者服务流程与场地，为专业硕士锻炼提升图书馆方面的业务技能、知晓企业运作的流程与要求提供良好的环境与机会。</w:t>
      </w:r>
    </w:p>
    <w:p w14:paraId="11BC92DB"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课程体系完备。设置有四门学科基础课、四门专业课、九门专业选修课。涵盖有传统的图情档的基本理论与方法、信息资源与数据管理、信息组织与检索、档案管理研究等内容，也增加了大数据、数据挖掘、机器学习等方面前沿课程，同时增设了古籍整理与保护研究传统优势课程。适应人才培养的多元化要求。</w:t>
      </w:r>
    </w:p>
    <w:p w14:paraId="227C651D"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4、导学互促，和谐师生关系。采用“集体研讨+一对一指导”方式，严格遵守《山西大学研究生导师指导行为准则》，融入生涯教育，密切了导学关系，保证了培养质量。 </w:t>
      </w:r>
    </w:p>
    <w:p w14:paraId="3C76A5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二、学位授权点年度建设取得的成绩</w:t>
      </w:r>
    </w:p>
    <w:p w14:paraId="56DAA5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制度建设</w:t>
      </w:r>
    </w:p>
    <w:p w14:paraId="759B6E6E"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强化学科竞争力、研究生培养质量提升方面制度建设。继续以《提升学科竞争力建设方案（试行）》为基准，对团队建设、教师发展与提升、教材出版、教学案例库建设、讲座举办、全国性或国际性学术会议举办等方面提出了激励措施，确保学科竞争力稳步提升。继续贯彻执行《经济与管理学院提升研究生培养质量建设方案》，对研究生论文撰写、参与实践、资格认证等方面都做了积极引导和激励，有助于补齐短板，提升研究生创新能力。</w:t>
      </w:r>
    </w:p>
    <w:p w14:paraId="27F3CE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师资队伍建设</w:t>
      </w:r>
    </w:p>
    <w:p w14:paraId="1E91A9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导师评聘细则，注重导师遴选质量。按照《山西大学经济与管理学院硕士研究生导师遴选条件》，严格校内、校外研究生导师遴选与导师招生资格审核机制，对选聘导师进行党委前置把关、党政联席会审议等多环节把控，确保导师遴选质量。每年对导师的招生资格进行严格审核。每年选派11位教师参加各类培训，提升了自身素质，贯彻了终身教育的理念。切实落实“双导师”制。校内导师负责培养方案制定、知识讲授和科研训练，校外导师负责实践能力培养，专业实习指导，协力提升学生综合素质。特新邀请4位校外导师加入到培养队伍中来，这4位导师都有丰富的管理和实践经验，一直以来便对山西大学的专硕教育给予很大支持，他们的加入必将有利于专硕双导师制更好的执行。以学校“千人计划”为契机，广泛招揽学科相关领域人才。正在进行简历筛选和博士师资人才来晋洽谈。</w:t>
      </w:r>
    </w:p>
    <w:p w14:paraId="4142BD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培养条件建设</w:t>
      </w:r>
    </w:p>
    <w:p w14:paraId="715D123A"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</w:rPr>
        <w:t>的科学设置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增加领域知识图谱构建与数字人文、大数据分析与挖掘、机器学习理论与方法等与人工智能、大数据对接的课程。继续</w:t>
      </w:r>
      <w:r>
        <w:rPr>
          <w:rFonts w:hint="eastAsia" w:ascii="仿宋" w:hAnsi="仿宋" w:eastAsia="仿宋" w:cs="仿宋"/>
          <w:sz w:val="32"/>
          <w:szCs w:val="32"/>
        </w:rPr>
        <w:t>开设全英文授课课程，提升研究生国际交流能力，扩大研究视野。聘请两位外籍教师开设全英文的两门课程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将国外的相关前沿知识讲授给学生，学生们不仅学到了最新的相关知识和方法，也锻炼了英语交流能力。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继续推进案例开发。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目前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形成了《山西大学图书情报案例库》，在图书情报教指委主办的2023年全国性案例大赛中，取得了良好成绩，获得全国性优秀案例奖3项，此外，入选各类优秀案例库2项，位居全国前列。</w:t>
      </w:r>
    </w:p>
    <w:p w14:paraId="51D057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科学研究工作</w:t>
      </w:r>
    </w:p>
    <w:p w14:paraId="77DA9606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2023年，共争取到横纵向科研项目13项，总额为资金130余万元，其中国家社科基金1项，省级项目3项。共发表高水平论文11篇。</w:t>
      </w:r>
    </w:p>
    <w:p w14:paraId="70E5F7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招生与培养等工作取得的成绩</w:t>
      </w:r>
    </w:p>
    <w:p w14:paraId="1C19E1A2">
      <w:pPr>
        <w:numPr>
          <w:ilvl w:val="0"/>
          <w:numId w:val="0"/>
        </w:numPr>
        <w:spacing w:line="360" w:lineRule="auto"/>
        <w:ind w:left="0" w:leftChars="0" w:firstLine="640" w:firstLineChars="200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研究生规模</w:t>
      </w:r>
    </w:p>
    <w:p w14:paraId="39314654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研究生报考人数逐年递增：202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年，报考人数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478</w:t>
      </w:r>
      <w:r>
        <w:rPr>
          <w:rFonts w:hint="eastAsia" w:ascii="仿宋" w:hAnsi="仿宋" w:eastAsia="仿宋" w:cs="仿宋"/>
          <w:sz w:val="32"/>
          <w:szCs w:val="32"/>
        </w:rPr>
        <w:t>人，录取分数线为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224</w:t>
      </w:r>
      <w:r>
        <w:rPr>
          <w:rFonts w:hint="eastAsia" w:ascii="仿宋" w:hAnsi="仿宋" w:eastAsia="仿宋" w:cs="仿宋"/>
          <w:sz w:val="32"/>
          <w:szCs w:val="32"/>
        </w:rPr>
        <w:t>分，超过国家线26分。当前在读研究生达到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人，其中2021级35人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2022级36人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2023级4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人，比2022年多出1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人。</w:t>
      </w:r>
    </w:p>
    <w:p w14:paraId="4A8329F5">
      <w:pPr>
        <w:pStyle w:val="6"/>
        <w:shd w:val="clear" w:color="auto" w:fill="FFFFFF"/>
        <w:spacing w:before="0" w:beforeAutospacing="0" w:after="0" w:afterAutospacing="0" w:line="360" w:lineRule="auto"/>
        <w:ind w:firstLine="615"/>
        <w:outlineLvl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2、学术交流情况</w:t>
      </w:r>
    </w:p>
    <w:p w14:paraId="3DC14C3E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2023年，本专业学位师生通过各种形式（线下和线上）参加学术交流共计20余次。在本校线下举行学术交流1次，参与举办全国性会议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次，线上线下参会人员达到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1000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余人。扩大了学科学术影响。</w:t>
      </w:r>
    </w:p>
    <w:p w14:paraId="2431D9BE">
      <w:pPr>
        <w:pStyle w:val="6"/>
        <w:shd w:val="clear" w:color="auto" w:fill="FFFFFF"/>
        <w:spacing w:before="0" w:beforeAutospacing="0" w:after="0" w:afterAutospacing="0" w:line="360" w:lineRule="auto"/>
        <w:ind w:firstLine="615"/>
        <w:outlineLvl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3、研究生奖助情况</w:t>
      </w:r>
    </w:p>
    <w:p w14:paraId="0449A183">
      <w:pPr>
        <w:pStyle w:val="6"/>
        <w:shd w:val="clear" w:color="auto" w:fill="FFFFFF"/>
        <w:spacing w:before="0" w:beforeAutospacing="0" w:after="0" w:afterAutospacing="0" w:line="360" w:lineRule="auto"/>
        <w:ind w:firstLine="61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2023年，145人获得国家助学金，总金额64.08万元；93人获得学业奖学金，总金额34.3万元；当前，奖助制度惠及绝大部分学生，鼓励他们安心学习，全身心提升竞争力。</w:t>
      </w:r>
    </w:p>
    <w:p w14:paraId="70768CD4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15"/>
        <w:outlineLvl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学生竞赛和获得资格证情况</w:t>
      </w:r>
    </w:p>
    <w:p w14:paraId="71CB54C0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在2023年，专硕学生获得国家级金奖2项、银奖1项、铜奖1项，其他国家级奖项2项，省级以上奖项6项，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在2023年，专硕学生1人获得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全国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计算机技术与软件专业技术资格（初级）、1人获得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全国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计算机技术与软件专业技术资格（中级）。</w:t>
      </w:r>
    </w:p>
    <w:p w14:paraId="14894609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outlineLvl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5、毕业研究生签约情况</w:t>
      </w:r>
    </w:p>
    <w:p w14:paraId="0732D9F5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2023届研究生中就业党政机关8人、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高等教育单位9人、中初等教育单位1人、其他事业单位5人、国有企业2人、民营企业5人、自主创业1人、升学1人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签约率96.88%</w:t>
      </w:r>
    </w:p>
    <w:p w14:paraId="7453F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</w:rPr>
        <w:t>学位授权点学位点建设存在的问题</w:t>
      </w:r>
    </w:p>
    <w:p w14:paraId="526E0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outlineLvl w:val="1"/>
        <w:rPr>
          <w:rFonts w:hint="eastAsia" w:ascii="仿宋" w:hAnsi="仿宋" w:eastAsia="仿宋" w:cs="仿宋"/>
          <w:sz w:val="32"/>
          <w:szCs w:val="32"/>
          <w:lang w:eastAsia="zh"/>
          <w:woUserID w:val="1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（一）人才培养质量有待进一步提升</w:t>
      </w:r>
    </w:p>
    <w:p w14:paraId="6C40C7B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教师队伍出现断层，多年无新教师引进。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青年教师是重要的生力军和未来的学术骨干，青年教师的未引进，在后续科研、教学等方面会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断层。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教师老化较为严重，近10年未引入新教师。2019年已退休1名教授，未来两年还有2名教授面临退休，到时50岁以上教师只有1位。除了老化以外， 2013年2023年没有引入1名新教师，队伍</w:t>
      </w:r>
      <w:r>
        <w:rPr>
          <w:rFonts w:hint="eastAsia" w:ascii="仿宋" w:hAnsi="仿宋" w:cs="仿宋"/>
          <w:sz w:val="32"/>
          <w:szCs w:val="32"/>
          <w:lang w:val="en-US" w:eastAsia="zh-CN"/>
          <w:woUserID w:val="1"/>
        </w:rPr>
        <w:t>规模日益缩小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。</w:t>
      </w:r>
      <w:r>
        <w:rPr>
          <w:rFonts w:hint="eastAsia" w:ascii="仿宋" w:hAnsi="仿宋" w:eastAsia="仿宋" w:cs="仿宋"/>
          <w:sz w:val="32"/>
          <w:szCs w:val="32"/>
          <w:woUserID w:val="1"/>
        </w:rPr>
        <w:t>当前，案例库还不完善，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虽有获奖案例入库但是数量上需要进一步增加</w:t>
      </w:r>
      <w:r>
        <w:rPr>
          <w:rFonts w:hint="eastAsia" w:ascii="仿宋" w:hAnsi="仿宋" w:eastAsia="仿宋" w:cs="仿宋"/>
          <w:sz w:val="32"/>
          <w:szCs w:val="32"/>
          <w:woUserID w:val="1"/>
        </w:rPr>
        <w:t>。毕业论文主要形式还是学术论文，还缺乏高质量研究报告、案例分析、调查报告等形式。</w:t>
      </w:r>
    </w:p>
    <w:p w14:paraId="1C28FB7F">
      <w:pPr>
        <w:spacing w:line="360" w:lineRule="auto"/>
        <w:ind w:firstLine="643" w:firstLineChars="200"/>
        <w:outlineLvl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科研与教学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资源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待更新</w:t>
      </w:r>
    </w:p>
    <w:p w14:paraId="1D5D927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学位授权点目前获得的科研资源与教学资源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对于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目前深度学习、数据挖掘、机器学习等课程内容对于机器性能的要求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来说还有不足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，未来应加大教育资源投入，进一步完善高性能计算机、数据处理和数据分析软件平台等教学设施建设。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目前学科建设新开的一些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机器学习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、大数据分析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等课程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需要购置。学科建设经费仍需提高，此外校外捐赠和自筹经费来源不稳定，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相关设备采购。</w:t>
      </w:r>
    </w:p>
    <w:p w14:paraId="0590E75C">
      <w:pPr>
        <w:spacing w:line="360" w:lineRule="auto"/>
        <w:ind w:firstLine="643" w:firstLineChars="200"/>
        <w:outlineLvl w:val="2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对外交流有待进一步提升</w:t>
      </w:r>
    </w:p>
    <w:p w14:paraId="2710ED6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与国内外知名高校虽然建立了校级交流关系，交流方式主要包括远程教学、学术交流，缺乏更深层次的科研合作。这可能受制于科研合作成果荣誉分配，学生交流主动性缺乏等因素。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国内外交流促进机制体制不足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3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学科缺乏接收国外留学生的传统，很多教师未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培养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过国外留学生。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疫情以来，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教师去国外开会并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1"/>
        </w:rPr>
        <w:t>进行学术报告的机会较少，大多通过在线参会的形式进行。</w:t>
      </w:r>
    </w:p>
    <w:p w14:paraId="7C5FF9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</w:rPr>
      </w:pPr>
      <w:r>
        <w:rPr>
          <w:rFonts w:hint="default"/>
        </w:rPr>
        <w:t>四、学位授权点下一年度建设计划</w:t>
      </w:r>
    </w:p>
    <w:p w14:paraId="127CDC6C">
      <w:pPr>
        <w:pStyle w:val="6"/>
        <w:shd w:val="clear" w:color="auto" w:fill="FFFFFF"/>
        <w:spacing w:before="0" w:beforeAutospacing="0" w:after="0" w:afterAutospacing="0" w:line="360" w:lineRule="auto"/>
        <w:ind w:firstLine="61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针对存在问题，对标兄弟院校的发展状况，山西大学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图书情报专硕学位点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将进一步加大人才引进，引育并重，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打造优势师资团队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；加大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国际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交流力度，提高学科显示度；改善办学条件，创建一流学习工作环境；追求学术卓越，产出更多高质量成果。通过不断努力，把图书情报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专业学位点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建设成为区域特色鲜明的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2"/>
        </w:rPr>
        <w:t>可持续、良性、高质量发展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一流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学位点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，具体计划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如下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2"/>
        </w:rPr>
        <w:t>：</w:t>
      </w:r>
    </w:p>
    <w:p w14:paraId="5297D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  <w:t>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提升导师队伍整体水平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F8F40F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2"/>
        </w:rPr>
        <w:t>结合本学位授权点研究特色与未来研究方向，面向国内外信息资源管理领域知名院校招揽人才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2"/>
        </w:rPr>
        <w:t>引进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  <w:woUserID w:val="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  <w:woUserID w:val="2"/>
        </w:rPr>
        <w:t>名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  <w:woUserID w:val="2"/>
        </w:rPr>
        <w:t>左右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2"/>
        </w:rPr>
        <w:t>国内985院校优秀博士或博士后</w:t>
      </w:r>
      <w:r>
        <w:rPr>
          <w:rFonts w:hint="eastAsia" w:ascii="仿宋" w:hAnsi="仿宋" w:eastAsia="仿宋" w:cs="仿宋"/>
          <w:sz w:val="32"/>
          <w:szCs w:val="32"/>
          <w:lang w:val="en-US" w:eastAsia="zh"/>
          <w:woUserID w:val="2"/>
        </w:rPr>
        <w:t>。多措并举，打造优势师资队伍。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加强教师人才引进。针对师资老化和新教师空缺的情况，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抓住学校“千人计划”机会，积极通过各种途径与985高校人才接洽，讲明薪资与优厚的待遇条件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同时，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深入校企协同，加大校企交流。邀请校外导师开展专题讲座，寻找双方合作契合点，共同开展科研攻关，提升教师服务社会的能力。</w:t>
      </w:r>
    </w:p>
    <w:p w14:paraId="31D6216C">
      <w:pPr>
        <w:pStyle w:val="6"/>
        <w:shd w:val="clear" w:color="auto" w:fill="FFFFFF"/>
        <w:spacing w:before="0" w:beforeAutospacing="0" w:after="0" w:afterAutospacing="0" w:line="360" w:lineRule="auto"/>
        <w:ind w:firstLine="643" w:firstLineChars="200"/>
        <w:outlineLvl w:val="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  <w:t>（二）完善学生培养模式</w:t>
      </w:r>
    </w:p>
    <w:p w14:paraId="20CFC5FB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woUserID w:val="1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学生过程培养，积极做好引导，突出专硕特色，切实提升解决实际问题的能力。要进一步将专硕和学硕的培养区分开来，包括课程设置、毕业论文形式方面进一步出台具体政策，更加契合专硕以应用为导向的培养目标，提升专硕的动手能力，使学生获得感更强。</w:t>
      </w:r>
    </w:p>
    <w:p w14:paraId="15E5AB45">
      <w:pPr>
        <w:pStyle w:val="6"/>
        <w:shd w:val="clear" w:color="auto" w:fill="FFFFFF"/>
        <w:spacing w:before="0" w:beforeAutospacing="0" w:after="0" w:afterAutospacing="0" w:line="360" w:lineRule="auto"/>
        <w:ind w:firstLine="643" w:firstLineChars="200"/>
        <w:outlineLvl w:val="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" w:bidi="ar-SA"/>
        </w:rPr>
        <w:t>（三）积极改善实验室环境与条件</w:t>
      </w:r>
    </w:p>
    <w:p w14:paraId="34C1474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依照新开课程的需要，配备相应的软硬件条件以达到授课要求。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3"/>
        </w:rPr>
        <w:t>今后，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  <w:woUserID w:val="2"/>
        </w:rPr>
        <w:t>在年初要求新开课程教师提交实验室设备采购清单，标明需要采购的名目、数量和价格。等到学科建设经费下来后择优进行改造资助。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8951C"/>
    <w:multiLevelType w:val="singleLevel"/>
    <w:tmpl w:val="808895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78F1FF9"/>
    <w:multiLevelType w:val="singleLevel"/>
    <w:tmpl w:val="378F1FF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DE95B5D"/>
    <w:multiLevelType w:val="singleLevel"/>
    <w:tmpl w:val="7DE95B5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I4NDY3ZjcyYzNhN2U1NDRmYTM4ZWU1OTMwNDAifQ=="/>
  </w:docVars>
  <w:rsids>
    <w:rsidRoot w:val="48A0159C"/>
    <w:rsid w:val="00171ADB"/>
    <w:rsid w:val="00490FE6"/>
    <w:rsid w:val="004A7DC5"/>
    <w:rsid w:val="00594E9B"/>
    <w:rsid w:val="005D04CB"/>
    <w:rsid w:val="00610869"/>
    <w:rsid w:val="0063393D"/>
    <w:rsid w:val="006F6FE0"/>
    <w:rsid w:val="0083050D"/>
    <w:rsid w:val="00A654A9"/>
    <w:rsid w:val="00ED4B30"/>
    <w:rsid w:val="01101675"/>
    <w:rsid w:val="02BB0712"/>
    <w:rsid w:val="047451DB"/>
    <w:rsid w:val="06E72E78"/>
    <w:rsid w:val="07D63618"/>
    <w:rsid w:val="094B4725"/>
    <w:rsid w:val="0A044A5A"/>
    <w:rsid w:val="0A1D552E"/>
    <w:rsid w:val="0A9448DF"/>
    <w:rsid w:val="0AFEF584"/>
    <w:rsid w:val="0CD365E0"/>
    <w:rsid w:val="0DBD1348"/>
    <w:rsid w:val="0E932523"/>
    <w:rsid w:val="11074842"/>
    <w:rsid w:val="134B07AB"/>
    <w:rsid w:val="14754C89"/>
    <w:rsid w:val="149507B7"/>
    <w:rsid w:val="19894F54"/>
    <w:rsid w:val="1AA66E7A"/>
    <w:rsid w:val="1F531CE9"/>
    <w:rsid w:val="20F61405"/>
    <w:rsid w:val="238B4E5F"/>
    <w:rsid w:val="254A0D4A"/>
    <w:rsid w:val="27D112AE"/>
    <w:rsid w:val="2B7F32A3"/>
    <w:rsid w:val="2E0979F4"/>
    <w:rsid w:val="2E4C1D1A"/>
    <w:rsid w:val="2EAB0213"/>
    <w:rsid w:val="2FAB316A"/>
    <w:rsid w:val="2FD03228"/>
    <w:rsid w:val="3069731E"/>
    <w:rsid w:val="30A34086"/>
    <w:rsid w:val="335D5E0C"/>
    <w:rsid w:val="33B1623B"/>
    <w:rsid w:val="380056EB"/>
    <w:rsid w:val="39E21682"/>
    <w:rsid w:val="3BA64AD4"/>
    <w:rsid w:val="3DD60F75"/>
    <w:rsid w:val="3F6DF4C4"/>
    <w:rsid w:val="3FA03C9A"/>
    <w:rsid w:val="45034D69"/>
    <w:rsid w:val="466F1B72"/>
    <w:rsid w:val="469A3487"/>
    <w:rsid w:val="48A0159C"/>
    <w:rsid w:val="49A63EF1"/>
    <w:rsid w:val="49B60923"/>
    <w:rsid w:val="4AAB2BDD"/>
    <w:rsid w:val="4D7FB1A8"/>
    <w:rsid w:val="4F6021F6"/>
    <w:rsid w:val="50B06C0B"/>
    <w:rsid w:val="51925534"/>
    <w:rsid w:val="52816F9E"/>
    <w:rsid w:val="52ED493F"/>
    <w:rsid w:val="53323BD5"/>
    <w:rsid w:val="53A70F92"/>
    <w:rsid w:val="56B454AA"/>
    <w:rsid w:val="572867AB"/>
    <w:rsid w:val="5751056D"/>
    <w:rsid w:val="58CB5722"/>
    <w:rsid w:val="599F3ACC"/>
    <w:rsid w:val="5A3F462B"/>
    <w:rsid w:val="5AF16565"/>
    <w:rsid w:val="5B1E7D8B"/>
    <w:rsid w:val="5C9F6BCD"/>
    <w:rsid w:val="5CAD1764"/>
    <w:rsid w:val="5FDAE703"/>
    <w:rsid w:val="5FFE6065"/>
    <w:rsid w:val="608408DC"/>
    <w:rsid w:val="63276003"/>
    <w:rsid w:val="63A16619"/>
    <w:rsid w:val="63DB65FF"/>
    <w:rsid w:val="666A152F"/>
    <w:rsid w:val="67E10ABE"/>
    <w:rsid w:val="6BEB5585"/>
    <w:rsid w:val="6BFFA0A4"/>
    <w:rsid w:val="6DEB17D7"/>
    <w:rsid w:val="6E379BAF"/>
    <w:rsid w:val="6F9F3948"/>
    <w:rsid w:val="6FBEA5F1"/>
    <w:rsid w:val="6FFE1AE2"/>
    <w:rsid w:val="703A6FBE"/>
    <w:rsid w:val="7322536C"/>
    <w:rsid w:val="741C1C5C"/>
    <w:rsid w:val="7461346C"/>
    <w:rsid w:val="777D07AA"/>
    <w:rsid w:val="777D5307"/>
    <w:rsid w:val="77D943ED"/>
    <w:rsid w:val="77F8929F"/>
    <w:rsid w:val="78C0027C"/>
    <w:rsid w:val="795B7FA5"/>
    <w:rsid w:val="79660E24"/>
    <w:rsid w:val="796FC05F"/>
    <w:rsid w:val="7A7C9337"/>
    <w:rsid w:val="7BE7A00C"/>
    <w:rsid w:val="7EBB29EE"/>
    <w:rsid w:val="7ED93E46"/>
    <w:rsid w:val="7F6FADBE"/>
    <w:rsid w:val="7F7E664E"/>
    <w:rsid w:val="7FDBEEF5"/>
    <w:rsid w:val="7FEE5C00"/>
    <w:rsid w:val="7FF7C679"/>
    <w:rsid w:val="7FFF8DBA"/>
    <w:rsid w:val="96EE79A0"/>
    <w:rsid w:val="9B7F8511"/>
    <w:rsid w:val="9F0B1211"/>
    <w:rsid w:val="B7FE4EDE"/>
    <w:rsid w:val="BFDB5E47"/>
    <w:rsid w:val="CF7EBB53"/>
    <w:rsid w:val="D69EC315"/>
    <w:rsid w:val="DCCDB914"/>
    <w:rsid w:val="DDFC2004"/>
    <w:rsid w:val="DFE0B14C"/>
    <w:rsid w:val="DFF75CB4"/>
    <w:rsid w:val="E7FFE1CA"/>
    <w:rsid w:val="ED7D720F"/>
    <w:rsid w:val="F2F5916D"/>
    <w:rsid w:val="FAEF5D7B"/>
    <w:rsid w:val="FF7F27BE"/>
    <w:rsid w:val="FFBFA10F"/>
    <w:rsid w:val="FFFDEC20"/>
    <w:rsid w:val="FFFFC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outlineLvl w:val="0"/>
    </w:pPr>
    <w:rPr>
      <w:rFonts w:ascii="Times New Roman" w:hAnsi="Times New Roman" w:eastAsia="黑体" w:cs="Times New Roman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4067</Words>
  <Characters>4176</Characters>
  <Lines>1</Lines>
  <Paragraphs>1</Paragraphs>
  <TotalTime>2</TotalTime>
  <ScaleCrop>false</ScaleCrop>
  <LinksUpToDate>false</LinksUpToDate>
  <CharactersWithSpaces>4195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2021-03-07T10:21:00Z</dcterms:created>
  <dc:creator>K</dc:creator>
  <cp:lastModifiedBy>徐健panda</cp:lastModifiedBy>
  <dcterms:modified xsi:type="dcterms:W3CDTF">2025-03-25T09:33:40Z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A1E3E7468E0849F7B51F01D1F5FB6277_13</vt:lpwstr>
  </property>
  <property fmtid="{D5CDD505-2E9C-101B-9397-08002B2CF9AE}" pid="4" name="KSOTemplateDocerSaveRecord">
    <vt:lpwstr>eyJoZGlkIjoiMjgyMDExNzE5ZjE4N2QyZGIzNWJkOWJlN2JlZDRhMjYiLCJ1c2VySWQiOiIzMDYzNjEyMjAifQ==</vt:lpwstr>
  </property>
</Properties>
</file>