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5635B">
      <w:pPr>
        <w:ind w:left="0" w:leftChars="0" w:firstLine="0" w:firstLineChars="0"/>
        <w:jc w:val="center"/>
        <w:outlineLvl w:val="0"/>
        <w:rPr>
          <w:rFonts w:hint="eastAsia" w:ascii="仿宋" w:hAnsi="仿宋" w:eastAsia="仿宋" w:cs="仿宋"/>
          <w:b/>
          <w:bCs/>
          <w:sz w:val="48"/>
          <w:szCs w:val="48"/>
        </w:rPr>
      </w:pPr>
      <w:r>
        <w:rPr>
          <w:rFonts w:hint="eastAsia" w:ascii="仿宋" w:hAnsi="仿宋" w:eastAsia="仿宋" w:cs="仿宋"/>
          <w:b/>
          <w:bCs/>
          <w:sz w:val="48"/>
          <w:szCs w:val="48"/>
          <w:lang w:val="en-US" w:eastAsia="zh-CN"/>
        </w:rPr>
        <w:t>山西大学</w:t>
      </w:r>
      <w:r>
        <w:rPr>
          <w:rFonts w:hint="eastAsia" w:ascii="仿宋" w:hAnsi="仿宋" w:eastAsia="仿宋" w:cs="仿宋"/>
          <w:b/>
          <w:bCs/>
          <w:sz w:val="48"/>
          <w:szCs w:val="48"/>
        </w:rPr>
        <w:t>图书情报与档案管理学位授权点建设年度报告（2020年）</w:t>
      </w:r>
    </w:p>
    <w:p w14:paraId="3B56651A">
      <w:pPr>
        <w:jc w:val="center"/>
        <w:rPr>
          <w:rFonts w:hint="eastAsia" w:ascii="仿宋" w:hAnsi="仿宋" w:eastAsia="仿宋" w:cs="仿宋"/>
          <w:szCs w:val="21"/>
        </w:rPr>
      </w:pPr>
    </w:p>
    <w:p w14:paraId="73C30292">
      <w:pPr>
        <w:spacing w:line="360" w:lineRule="auto"/>
        <w:ind w:left="0" w:leftChars="0" w:firstLine="0" w:firstLineChars="0"/>
        <w:outlineLvl w:val="0"/>
        <w:rPr>
          <w:rFonts w:hint="eastAsia" w:ascii="仿宋" w:hAnsi="仿宋" w:eastAsia="仿宋" w:cs="仿宋"/>
          <w:b/>
          <w:bCs/>
          <w:sz w:val="36"/>
          <w:szCs w:val="36"/>
        </w:rPr>
      </w:pPr>
      <w:r>
        <w:rPr>
          <w:rFonts w:hint="eastAsia" w:ascii="仿宋" w:hAnsi="仿宋" w:eastAsia="仿宋" w:cs="仿宋"/>
          <w:b/>
          <w:bCs/>
          <w:sz w:val="36"/>
          <w:szCs w:val="36"/>
        </w:rPr>
        <w:t>一、学位授权点基本情况</w:t>
      </w:r>
    </w:p>
    <w:p w14:paraId="16ADD75A">
      <w:pPr>
        <w:bidi w:val="0"/>
        <w:rPr>
          <w:rFonts w:hint="eastAsia" w:ascii="仿宋" w:hAnsi="仿宋" w:eastAsia="仿宋" w:cs="仿宋"/>
          <w:lang w:val="en-US" w:eastAsia="zh-CN"/>
        </w:rPr>
      </w:pPr>
      <w:r>
        <w:rPr>
          <w:rFonts w:hint="eastAsia" w:ascii="仿宋" w:hAnsi="仿宋" w:eastAsia="仿宋" w:cs="仿宋"/>
          <w:lang w:val="en-US" w:eastAsia="zh-CN"/>
        </w:rPr>
        <w:t>山西大学图书馆学本科专业成立于1978年。本学位点坚持以本科教育为依托，大力发展研究生教育，立足山西、面向全国、放眼国际的办学思路。1998年图书馆学专业被国务院学位办批准硕士学位授予权，2003年情报学专业获得硕士学位授予权，2005年图书情报与档案管理一级学科硕士点获得批准，2010年图书情报专业硕士点获批，是山西省重点建设学科，也是山西省唯一同时拥有图书情报与档案管理一级学科硕士学位授权点和图书情报专业硕士授权点的学科。2020年信息管理与信息系统专业先后入选山西省一流本科专业和国家级一流本科专业。</w:t>
      </w:r>
    </w:p>
    <w:p w14:paraId="7DD6BED7">
      <w:pPr>
        <w:bidi w:val="0"/>
        <w:ind w:firstLine="420" w:firstLineChars="0"/>
        <w:outlineLvl w:val="1"/>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（一）培养方向</w:t>
      </w:r>
    </w:p>
    <w:p w14:paraId="5195ADBD">
      <w:pPr>
        <w:bidi w:val="0"/>
        <w:rPr>
          <w:rFonts w:hint="eastAsia" w:ascii="仿宋" w:hAnsi="仿宋" w:eastAsia="仿宋" w:cs="仿宋"/>
          <w:lang w:val="en-US" w:eastAsia="zh-CN"/>
        </w:rPr>
      </w:pPr>
      <w:r>
        <w:rPr>
          <w:rFonts w:hint="eastAsia" w:ascii="仿宋" w:hAnsi="仿宋" w:eastAsia="仿宋" w:cs="仿宋"/>
          <w:lang w:val="en-US" w:eastAsia="zh-CN"/>
        </w:rPr>
        <w:t>本学位点形成了稳定的三个培养方向：（1）中文信息处理与组织：以由丽萍、王瑞云、刘爱琴、毋江波、魏恒等老师为研究团队，同时联合本校计算机学院老师组成跨学科团队。该方向以中文信息处理技术为主要研究内容，重点研究网络信息的组织与检索、网络数据挖掘等问题。（2）信息生态与信息法律：以相丽玲、杨光、李倩、孙丽娜等老师为研究团队，该方向主要是在研究信息生态系统平衡机制的基础上，探索信息人文管理的方向，对网络信息安全法、信息服务法、个人数据保护法、知识产权法等信息法学问题进行理论研究。（3）信息服务与质量评价：以肖珑、齐向华、尚珊、雷晓庆、石艳霞、李蓉等教师组成研究团队，该方向以提高各类型图情档机构的数字信息服务水平为最终目的，通过对用户信息行为及信息需求服务方式的研究，探索科学可行的服务管理策略的制定方法。</w:t>
      </w:r>
    </w:p>
    <w:p w14:paraId="7CE55B0F">
      <w:pPr>
        <w:pStyle w:val="15"/>
        <w:numPr>
          <w:ilvl w:val="0"/>
          <w:numId w:val="0"/>
        </w:numPr>
        <w:spacing w:line="460" w:lineRule="exact"/>
        <w:ind w:firstLine="420" w:firstLineChars="0"/>
        <w:outlineLvl w:val="1"/>
        <w:rPr>
          <w:rFonts w:hint="eastAsia" w:ascii="Times New Roman" w:hAnsi="Times New Roman" w:eastAsia="仿宋" w:cs="Times New Roman"/>
          <w:b/>
          <w:bCs/>
          <w:kern w:val="2"/>
          <w:sz w:val="32"/>
          <w:szCs w:val="32"/>
          <w:lang w:val="en-US" w:eastAsia="zh-CN" w:bidi="ar-SA"/>
        </w:rPr>
      </w:pPr>
      <w:r>
        <w:rPr>
          <w:rFonts w:hint="eastAsia" w:ascii="Times New Roman" w:hAnsi="Times New Roman" w:eastAsia="仿宋" w:cs="Times New Roman"/>
          <w:b/>
          <w:bCs/>
          <w:kern w:val="2"/>
          <w:sz w:val="32"/>
          <w:szCs w:val="32"/>
          <w:lang w:val="en-US" w:eastAsia="zh-CN" w:bidi="ar-SA"/>
        </w:rPr>
        <w:t>（二）师资队伍</w:t>
      </w:r>
    </w:p>
    <w:p w14:paraId="52CCD9EC">
      <w:pPr>
        <w:bidi w:val="0"/>
        <w:rPr>
          <w:rFonts w:hint="eastAsia" w:ascii="仿宋" w:hAnsi="仿宋" w:eastAsia="仿宋" w:cs="仿宋"/>
          <w:lang w:val="en-US" w:eastAsia="zh-CN"/>
        </w:rPr>
      </w:pPr>
      <w:r>
        <w:rPr>
          <w:rFonts w:hint="eastAsia" w:ascii="仿宋" w:hAnsi="仿宋" w:eastAsia="仿宋" w:cs="仿宋"/>
          <w:lang w:val="en-US" w:eastAsia="zh-CN"/>
        </w:rPr>
        <w:t>本学位点共有专任教师24人，近50%的专任教师有国外留学经历。13人拥有博士学位，1人担任博导，12人担任硕导。教师中多人来自北京大学、吉林大学、华中师范大学等名校。本学位点专任教师生师比为1.6:1，研究生导师生师比为2.9:1。</w:t>
      </w:r>
    </w:p>
    <w:p w14:paraId="693AA0D3">
      <w:pPr>
        <w:bidi w:val="0"/>
        <w:rPr>
          <w:rFonts w:hint="eastAsia" w:ascii="仿宋" w:hAnsi="仿宋" w:eastAsia="仿宋" w:cs="仿宋"/>
          <w:lang w:val="en-US" w:eastAsia="zh-CN"/>
        </w:rPr>
      </w:pPr>
      <w:r>
        <w:rPr>
          <w:rFonts w:hint="eastAsia" w:ascii="仿宋" w:hAnsi="仿宋" w:eastAsia="仿宋" w:cs="仿宋"/>
          <w:lang w:val="en-US" w:eastAsia="zh-CN"/>
        </w:rPr>
        <w:t>外籍兼职任课教师有两位：罗丽丽，美国圣何西州立大学信息学院教授，承担研究生课程《图书情报学研究方法》的远程全英文授课。时雷庆，英国南安普敦索伦特大学图书馆高级馆员，承担研究生课程《数字化资源发现与提供》的远程全英文授课。</w:t>
      </w:r>
    </w:p>
    <w:p w14:paraId="75E07E75">
      <w:pPr>
        <w:pStyle w:val="15"/>
        <w:numPr>
          <w:ilvl w:val="0"/>
          <w:numId w:val="0"/>
        </w:numPr>
        <w:spacing w:line="460" w:lineRule="exact"/>
        <w:ind w:firstLine="420" w:firstLineChars="0"/>
        <w:outlineLvl w:val="1"/>
        <w:rPr>
          <w:rFonts w:hint="eastAsia" w:ascii="Times New Roman" w:hAnsi="Times New Roman" w:eastAsia="仿宋" w:cs="Times New Roman"/>
          <w:b/>
          <w:bCs/>
          <w:kern w:val="2"/>
          <w:sz w:val="32"/>
          <w:szCs w:val="32"/>
          <w:lang w:val="en-US" w:eastAsia="zh-CN" w:bidi="ar-SA"/>
        </w:rPr>
      </w:pPr>
      <w:r>
        <w:rPr>
          <w:rFonts w:hint="eastAsia" w:ascii="Times New Roman" w:hAnsi="Times New Roman" w:eastAsia="仿宋" w:cs="Times New Roman"/>
          <w:b/>
          <w:bCs/>
          <w:kern w:val="2"/>
          <w:sz w:val="32"/>
          <w:szCs w:val="32"/>
          <w:lang w:val="en-US" w:eastAsia="zh-CN" w:bidi="ar-SA"/>
        </w:rPr>
        <w:t>（三）培养条件</w:t>
      </w:r>
    </w:p>
    <w:p w14:paraId="1B8E8B6C">
      <w:pPr>
        <w:bidi w:val="0"/>
        <w:rPr>
          <w:rFonts w:hint="eastAsia" w:ascii="仿宋" w:hAnsi="仿宋" w:eastAsia="仿宋" w:cs="仿宋"/>
          <w:lang w:val="en-US" w:eastAsia="zh-CN"/>
        </w:rPr>
      </w:pPr>
      <w:r>
        <w:rPr>
          <w:rFonts w:hint="eastAsia" w:ascii="仿宋" w:hAnsi="仿宋" w:eastAsia="仿宋" w:cs="仿宋"/>
          <w:lang w:val="en-US" w:eastAsia="zh-CN"/>
        </w:rPr>
        <w:t>在科学研究方面，本学位点近五年来承担了1项国家社会科学基金重点项目，承担了4项国家社会科学基金一般项目和1项国家自然科学基金青年科学基金项目。本学位点还承担了20余项省级科研项目和多项横向课题，科研经费达到400余万。在国内外期刊发表论文110余篇，其中国内外权威期刊论文10余篇，被引次数达到1200多次，出版专著4部，编写教材1部，举办各类学术会议8次。获得山西省社会科学研究优秀成果奖、山西省高等学校科学研究优秀成果奖等4项科研奖励。</w:t>
      </w:r>
    </w:p>
    <w:p w14:paraId="1A435000">
      <w:pPr>
        <w:bidi w:val="0"/>
        <w:rPr>
          <w:rFonts w:hint="eastAsia" w:ascii="仿宋" w:hAnsi="仿宋" w:eastAsia="仿宋" w:cs="仿宋"/>
          <w:lang w:val="en-US" w:eastAsia="zh-CN"/>
        </w:rPr>
      </w:pPr>
      <w:r>
        <w:rPr>
          <w:rFonts w:hint="eastAsia" w:ascii="仿宋" w:hAnsi="仿宋" w:eastAsia="仿宋" w:cs="仿宋"/>
          <w:lang w:val="en-US" w:eastAsia="zh-CN"/>
        </w:rPr>
        <w:t>在教学科研支撑条件方面，构建了多样思政教育平台。在学生公寓成立“知行公寓党支部”、“辅导员工作室”，将思想政治工作的触角真正地深入到公寓中。进一步打造“知行众创空间”，实现阅读文化、双创文化的延伸，为学生思政、双创提供孵化基地。拓展科研平台。与管理科学与工程学科紧密融合，在山西省高校人文社科重点研究基地——山西大学管理与决策研究中心大平台上培养博士生和硕士生。与图书馆联合，就科技查新进行紧密协作，成功设立教育部科技查新服务工作站。在此平台上，可以更好地展开社会服务。专业特色数据库更为丰富。与图书馆积极沟通，购买了与学科研究紧密相关的数据库，如引文索引数据库WEB OF SCIENCE、CNKI、智慧芽专利数据库，对于信息计量与科学评价的深入展开提供良好的数据工具支撑。</w:t>
      </w:r>
    </w:p>
    <w:p w14:paraId="7698A4CD">
      <w:pPr>
        <w:spacing w:line="360" w:lineRule="auto"/>
        <w:ind w:left="0" w:leftChars="0" w:firstLine="0" w:firstLineChars="0"/>
        <w:outlineLvl w:val="0"/>
        <w:rPr>
          <w:rFonts w:hint="eastAsia" w:ascii="仿宋" w:hAnsi="仿宋" w:eastAsia="仿宋" w:cs="仿宋"/>
          <w:b/>
          <w:bCs/>
          <w:sz w:val="36"/>
          <w:szCs w:val="36"/>
        </w:rPr>
      </w:pPr>
      <w:r>
        <w:rPr>
          <w:rFonts w:hint="eastAsia" w:ascii="仿宋" w:hAnsi="仿宋" w:eastAsia="仿宋" w:cs="仿宋"/>
          <w:b/>
          <w:bCs/>
          <w:sz w:val="36"/>
          <w:szCs w:val="36"/>
          <w:lang w:val="en-US" w:eastAsia="zh-CN"/>
        </w:rPr>
        <w:t>二、学位授权点年度建设取得的成绩</w:t>
      </w:r>
    </w:p>
    <w:p w14:paraId="389DFEC1">
      <w:pPr>
        <w:spacing w:line="460" w:lineRule="exact"/>
        <w:ind w:firstLine="420" w:firstLineChars="0"/>
        <w:outlineLvl w:val="1"/>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（一）制度建设</w:t>
      </w:r>
    </w:p>
    <w:p w14:paraId="0041C90D">
      <w:pPr>
        <w:bidi w:val="0"/>
        <w:rPr>
          <w:rFonts w:hint="eastAsia" w:ascii="仿宋" w:hAnsi="仿宋" w:eastAsia="仿宋" w:cs="仿宋"/>
          <w:lang w:val="en-US" w:eastAsia="zh-CN"/>
        </w:rPr>
      </w:pPr>
      <w:r>
        <w:rPr>
          <w:rFonts w:hint="eastAsia" w:ascii="仿宋" w:hAnsi="仿宋" w:eastAsia="仿宋" w:cs="仿宋"/>
          <w:lang w:val="en-US" w:eastAsia="zh-CN"/>
        </w:rPr>
        <w:t>本年度进一步形成了规范的专业课程调整与优化工作机制。每年都追踪武汉大学、南京大学等重点高校的培养方案，结合学科进展和自身实际情况，定期召开学位点建设委员会会议，商讨下一年度培养方案的调整和优化问题。形成了导师评聘规定细则。在效率与公平之间保持合理平衡，规定每位导师每年最少有1名硕士研究生但最多不超过3人。使得学生不会过度集中在某一位或者某几位导师，切身提升培养质量。</w:t>
      </w:r>
    </w:p>
    <w:p w14:paraId="4E22334B">
      <w:pPr>
        <w:bidi w:val="0"/>
        <w:rPr>
          <w:rFonts w:hint="eastAsia" w:ascii="仿宋" w:hAnsi="仿宋" w:eastAsia="仿宋" w:cs="仿宋"/>
          <w:lang w:val="en-US" w:eastAsia="zh-CN"/>
        </w:rPr>
      </w:pPr>
      <w:r>
        <w:rPr>
          <w:rFonts w:hint="eastAsia" w:ascii="仿宋" w:hAnsi="仿宋" w:eastAsia="仿宋" w:cs="仿宋"/>
          <w:lang w:val="en-US" w:eastAsia="zh-CN"/>
        </w:rPr>
        <w:t>在管理服务方面，主要是强化课程过程考核，严格执行教指委的查课、听课和请假制度。除常规期末考试外，把考勤、随堂测试、综述报告等纳入学生成绩考核体系，由一次性评价变为过程性多次评价，强化学生日常训练和积累。本学位点研究生教指委按照“随机抽查”和“定向检查”等方式进行查课和听课。同时，教指委依据《山西大学研究生教学事故认定与处理暂行办法》，督促研究生授课教师保证正常的研究生教学秩序。</w:t>
      </w:r>
    </w:p>
    <w:p w14:paraId="52B24466">
      <w:pPr>
        <w:spacing w:line="460" w:lineRule="exact"/>
        <w:ind w:firstLine="420" w:firstLineChars="0"/>
        <w:outlineLvl w:val="1"/>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（二）队伍建设</w:t>
      </w:r>
    </w:p>
    <w:p w14:paraId="1D32A469">
      <w:pPr>
        <w:bidi w:val="0"/>
        <w:rPr>
          <w:rFonts w:hint="eastAsia" w:ascii="仿宋" w:hAnsi="仿宋" w:eastAsia="仿宋" w:cs="仿宋"/>
          <w:lang w:val="en-US" w:eastAsia="zh-CN"/>
        </w:rPr>
      </w:pPr>
      <w:r>
        <w:rPr>
          <w:rFonts w:hint="eastAsia" w:ascii="仿宋" w:hAnsi="仿宋" w:eastAsia="仿宋" w:cs="仿宋"/>
          <w:lang w:val="en-US" w:eastAsia="zh-CN"/>
        </w:rPr>
        <w:t>本学位点严格按照学校导师遴选规定评聘教师，新聘导师1名，校外兼职导师2名（分别为中国科学院大学霍国庆教授和中国科学院大学杨丽英研究员），充实了导师队伍。以立德树人为根本，以理想信念教育和专业教育为双轮驱动，将育人元素融入教学、科研及实践。本学位点多位教师联合开发的“匠心独具施教绿叶化物育人”系列课程广受全学院师生欢迎，并在《山西大学校报》做了相关报道；支部特色主题活动“师生绽放计划”助力实现育人成己，师生共促；特色课程《职业能力提升指导》助学生树努力之靶，提升职业素养；本学位点教师注重传导主流意识形态，课堂讲授有纪律，公开言论有规矩，无违反德师风情况。2019-2020学年度，本学位点团队中2名教师获得校级表彰奖励：刘爱琴老师获得山西大学教学先进个人荣誉称号，石艳霞老师获得山西大学师德师风先进个人荣誉称号。</w:t>
      </w:r>
    </w:p>
    <w:p w14:paraId="0D7D7A01">
      <w:pPr>
        <w:bidi w:val="0"/>
        <w:rPr>
          <w:rFonts w:hint="eastAsia" w:ascii="仿宋" w:hAnsi="仿宋" w:eastAsia="仿宋" w:cs="仿宋"/>
          <w:b/>
          <w:bCs/>
          <w:lang w:val="en-US" w:eastAsia="zh-CN"/>
        </w:rPr>
      </w:pPr>
      <w:r>
        <w:rPr>
          <w:rFonts w:hint="eastAsia" w:ascii="仿宋" w:hAnsi="仿宋" w:eastAsia="仿宋" w:cs="仿宋"/>
          <w:b/>
          <w:bCs/>
          <w:lang w:val="en-US" w:eastAsia="zh-CN"/>
        </w:rPr>
        <w:t>（三）培养条件建设</w:t>
      </w:r>
    </w:p>
    <w:p w14:paraId="68A1B624">
      <w:pPr>
        <w:bidi w:val="0"/>
        <w:rPr>
          <w:rFonts w:hint="eastAsia" w:ascii="仿宋" w:hAnsi="仿宋" w:eastAsia="仿宋" w:cs="仿宋"/>
          <w:lang w:val="en-US" w:eastAsia="zh-CN"/>
        </w:rPr>
      </w:pPr>
      <w:r>
        <w:rPr>
          <w:rFonts w:hint="eastAsia" w:ascii="仿宋" w:hAnsi="仿宋" w:eastAsia="仿宋" w:cs="仿宋"/>
          <w:lang w:val="en-US" w:eastAsia="zh-CN"/>
        </w:rPr>
        <w:t>本学位点的导师指导工作主要是采取集体研讨和一对一指导的方式进行，每位导师根据实际情况选择适合自己的指导方式，每学期每生指导次数不少于10次。包括：（1）集体研讨，主要是对热点问题进行讨论，一起研读论文，学生主讲前沿文章，导师布置研究任务等；（2）一对一指导，主要是对前段时间学术研究的总结，对疑问的解释和探讨，对下一步工作的计划等。</w:t>
      </w:r>
    </w:p>
    <w:p w14:paraId="64100C92">
      <w:pPr>
        <w:bidi w:val="0"/>
        <w:rPr>
          <w:rFonts w:hint="eastAsia" w:ascii="仿宋" w:hAnsi="仿宋" w:eastAsia="仿宋" w:cs="仿宋"/>
          <w:lang w:val="en-US" w:eastAsia="zh-CN"/>
        </w:rPr>
      </w:pPr>
      <w:r>
        <w:rPr>
          <w:rFonts w:hint="eastAsia" w:ascii="仿宋" w:hAnsi="仿宋" w:eastAsia="仿宋" w:cs="仿宋"/>
          <w:lang w:val="en-US" w:eastAsia="zh-CN"/>
        </w:rPr>
        <w:t>在课程开设方面，注重学科交叉，以保证教学先进性和科学性。共有18门课程，其中13门必修课，5门选修课。每年都研究新理论、新方法、新技术对于本学位点教育的影响，通过合并、新设等方式对课程进行及时调整，如新加入了《Python数据分析》、《SPSS与AMOS应用研究》、《网络数据挖掘》等新课程。开设全英文授课课程，提升研究生国际交流能力，扩大研究视野。聘请两位外籍教师开设全英文的两门课程，学生们学到了最新的学科领域知识和方法，同时也锻炼了英语交流能力。</w:t>
      </w:r>
    </w:p>
    <w:p w14:paraId="132C343D">
      <w:pPr>
        <w:bidi w:val="0"/>
        <w:rPr>
          <w:rFonts w:hint="eastAsia" w:ascii="仿宋" w:hAnsi="仿宋" w:eastAsia="仿宋" w:cs="仿宋"/>
          <w:lang w:val="en-US" w:eastAsia="zh-CN"/>
        </w:rPr>
      </w:pPr>
      <w:r>
        <w:rPr>
          <w:rFonts w:hint="eastAsia" w:ascii="仿宋" w:hAnsi="仿宋" w:eastAsia="仿宋" w:cs="仿宋"/>
          <w:lang w:val="en-US" w:eastAsia="zh-CN"/>
        </w:rPr>
        <w:t>加强师资建设，鼓励教师通过参与培训不断提升教学水平。每年安排资助教师参加一些专业机构组织的培训，如王瑞云老师参加了Python设计开发的课程、石艳霞老师参加了职业生涯规划和创新思维训练方面的课程，使得教师不断提升自己的知识内容，并将其融入到课堂教学，帮助学生获得最前沿知识。</w:t>
      </w:r>
    </w:p>
    <w:p w14:paraId="62B9427F">
      <w:pPr>
        <w:bidi w:val="0"/>
        <w:rPr>
          <w:rFonts w:hint="eastAsia" w:ascii="仿宋" w:hAnsi="仿宋" w:eastAsia="仿宋" w:cs="仿宋"/>
          <w:lang w:val="en-US" w:eastAsia="zh-CN"/>
        </w:rPr>
      </w:pPr>
      <w:r>
        <w:rPr>
          <w:rFonts w:hint="eastAsia" w:ascii="仿宋" w:hAnsi="仿宋" w:eastAsia="仿宋" w:cs="仿宋"/>
          <w:lang w:val="en-US" w:eastAsia="zh-CN"/>
        </w:rPr>
        <w:t>开设前沿讲座，鼓励学生积极参与导师课题研究。开设了《图书情报档案学基础理论与前沿》课程，使得学生对研究前沿有系统把握。在平时科学研究中，学生们结合导师研究方向，以问题为导向，深度参与导师课题。加强实践操作，提升学生动手能力。注重实验课的科学设置，安排了4门上机实验课，提升了解决实际问题的能力。</w:t>
      </w:r>
    </w:p>
    <w:p w14:paraId="427EAEB5">
      <w:pPr>
        <w:bidi w:val="0"/>
        <w:rPr>
          <w:rFonts w:hint="eastAsia" w:ascii="仿宋" w:hAnsi="仿宋" w:eastAsia="仿宋" w:cs="仿宋"/>
          <w:b/>
          <w:bCs/>
          <w:lang w:val="en-US" w:eastAsia="zh-CN"/>
        </w:rPr>
      </w:pPr>
      <w:r>
        <w:rPr>
          <w:rFonts w:hint="eastAsia" w:ascii="仿宋" w:hAnsi="仿宋" w:eastAsia="仿宋" w:cs="仿宋"/>
          <w:b/>
          <w:bCs/>
          <w:lang w:val="en-US" w:eastAsia="zh-CN"/>
        </w:rPr>
        <w:t>（四）科学研究工作</w:t>
      </w:r>
    </w:p>
    <w:p w14:paraId="0777CE7A">
      <w:pPr>
        <w:bidi w:val="0"/>
        <w:rPr>
          <w:rFonts w:hint="eastAsia" w:ascii="仿宋" w:hAnsi="仿宋" w:eastAsia="仿宋" w:cs="仿宋"/>
          <w:lang w:val="en-US" w:eastAsia="zh-CN"/>
        </w:rPr>
      </w:pPr>
      <w:r>
        <w:rPr>
          <w:rFonts w:hint="eastAsia" w:ascii="仿宋" w:hAnsi="仿宋" w:eastAsia="仿宋" w:cs="仿宋"/>
          <w:lang w:val="en-US" w:eastAsia="zh-CN"/>
        </w:rPr>
        <w:t>在论文质量方面，研究生论文质量不断提高。近五年，在校生积极参与导师科研项目，广泛阅读国内外相关经典和最新文献，勤奋好学，勇于创新，取得了较为丰硕的成果，发表论文20余篇。发文期刊覆盖《中国图书馆学报》、《情报学报》和《档案学研究》等国家级核心期刊，体现了本学位点在校生在研究问题选择、研究方法应用等方面的多样性，也反映了本学位点在学生培养方面已形成自身特有的体系结构。毕业论文获省级优秀论文1篇，校级优秀论文1篇，体现了本学位点毕业生较高的综合素养，也体现了本学位点较强的学科基础、科研实力和研究生培养注重高质量和高水平的基本导向。</w:t>
      </w:r>
    </w:p>
    <w:p w14:paraId="620C12AB">
      <w:pPr>
        <w:bidi w:val="0"/>
        <w:rPr>
          <w:rFonts w:hint="eastAsia" w:ascii="仿宋" w:hAnsi="仿宋" w:eastAsia="仿宋" w:cs="仿宋"/>
          <w:lang w:val="en-US" w:eastAsia="zh-CN"/>
        </w:rPr>
      </w:pPr>
      <w:r>
        <w:rPr>
          <w:rFonts w:hint="eastAsia" w:ascii="仿宋" w:hAnsi="仿宋" w:eastAsia="仿宋" w:cs="仿宋"/>
          <w:lang w:val="en-US" w:eastAsia="zh-CN"/>
        </w:rPr>
        <w:t>在学术交流方面，教师参加国内外学术交流活跃。与图书馆联合邀请国内著名学者程焕文、徐雁等学者举办专题讲座3次，教师参加线下会议5次，线上会议6次。选派2位老师参加了专题培训。学生参加境外学术交流有了新进展。2名研究生于2020年1月18日至2020年2月8日去澳大利亚参加为期3周的阿德莱德大学英语和研究能力项目培训。</w:t>
      </w:r>
    </w:p>
    <w:p w14:paraId="56F092B5">
      <w:pPr>
        <w:bidi w:val="0"/>
        <w:rPr>
          <w:rFonts w:hint="eastAsia" w:ascii="仿宋" w:hAnsi="仿宋" w:eastAsia="仿宋" w:cs="仿宋"/>
          <w:lang w:val="en-US" w:eastAsia="zh-CN"/>
        </w:rPr>
      </w:pPr>
      <w:r>
        <w:rPr>
          <w:rFonts w:hint="eastAsia" w:ascii="仿宋" w:hAnsi="仿宋" w:eastAsia="仿宋" w:cs="仿宋"/>
          <w:lang w:val="en-US" w:eastAsia="zh-CN"/>
        </w:rPr>
        <w:t>在服务社会公众方面，针对个人和组织，本学位点依托专业优势和教师队伍，发挥智库作用，为有需求的公众提供知识产品，助力信息从业人员素质提升。推进“互联网+”融合，开启“互联网+培训”的新模式，满足现场培训+直播培训+回播观看的多场景培训需求，为区域发展提供服务。注重社会公共与公益服务，基于乘“书海之舟”志愿活动，拓展活动形式，通过播放公益宣传片、推出经典图文展和主题书目推荐、结合地方特色开展“诵读经典致敬祖国”诵读大赛活动、开展主题读书会，实现阅读推广服务新模式。</w:t>
      </w:r>
    </w:p>
    <w:p w14:paraId="2E0B7B50">
      <w:pPr>
        <w:bidi w:val="0"/>
        <w:rPr>
          <w:rFonts w:hint="eastAsia" w:ascii="仿宋" w:hAnsi="仿宋" w:eastAsia="仿宋" w:cs="仿宋"/>
          <w:lang w:val="en-US" w:eastAsia="zh-CN"/>
        </w:rPr>
      </w:pPr>
      <w:r>
        <w:rPr>
          <w:rFonts w:hint="eastAsia" w:ascii="仿宋" w:hAnsi="仿宋" w:eastAsia="仿宋" w:cs="仿宋"/>
          <w:lang w:val="en-US" w:eastAsia="zh-CN"/>
        </w:rPr>
        <w:t>在满足国家重大需求方面，服务国家精准扶贫重大战略，先后组织本学位点团队教师，80多名研究生参与进来，聚焦贫困县的贫困发生率、脱贫人口错退率、贫困人口漏评率等关键问题，深度参与全国贫困县脱贫测评工作。主要工作是通过与农户进行深度访谈与填写调查问卷，了解农户生活现状；与农户随时沟通，核实农户信息，确保调查数据的真实性和有效性；集中讨论乡村土地承包、民生工程等问题，将调研中的影音、图片及相关资料分类建档，上传平台以备查看等。</w:t>
      </w:r>
    </w:p>
    <w:p w14:paraId="73E24968">
      <w:pPr>
        <w:bidi w:val="0"/>
        <w:rPr>
          <w:rFonts w:hint="eastAsia" w:ascii="仿宋" w:hAnsi="仿宋" w:eastAsia="仿宋" w:cs="仿宋"/>
          <w:lang w:val="en-US" w:eastAsia="zh-CN"/>
        </w:rPr>
      </w:pPr>
      <w:r>
        <w:rPr>
          <w:rFonts w:hint="eastAsia" w:ascii="仿宋" w:hAnsi="仿宋" w:eastAsia="仿宋" w:cs="仿宋"/>
          <w:lang w:val="en-US" w:eastAsia="zh-CN"/>
        </w:rPr>
        <w:t>在推进学术前沿、促进学科建设方面，立足学科核心资源和能力，与山西大学图书馆密切合作，提供科技论文检索和查新等相关工作，助力科研人员的科技成果应用和转化。由山西省教育厅主管，山西大学、山西省高等学校图书情报工作委员会和山西省图书馆联合主办学术期刊《晋图学刊》，围绕图书馆学、情报学的重大关键问题及社会关注热点展开讨论，传播学术前沿。</w:t>
      </w:r>
    </w:p>
    <w:p w14:paraId="48060C1B">
      <w:pPr>
        <w:bidi w:val="0"/>
        <w:outlineLvl w:val="1"/>
        <w:rPr>
          <w:rFonts w:hint="eastAsia" w:ascii="仿宋" w:hAnsi="仿宋" w:eastAsia="仿宋" w:cs="仿宋"/>
          <w:b/>
          <w:bCs/>
          <w:lang w:val="en-US" w:eastAsia="zh-CN"/>
        </w:rPr>
      </w:pPr>
      <w:r>
        <w:rPr>
          <w:rFonts w:hint="eastAsia" w:ascii="仿宋" w:hAnsi="仿宋" w:eastAsia="仿宋" w:cs="仿宋"/>
          <w:b/>
          <w:bCs/>
          <w:lang w:val="en-US" w:eastAsia="zh-CN"/>
        </w:rPr>
        <w:t>（五）招生与培养</w:t>
      </w:r>
    </w:p>
    <w:p w14:paraId="2FB833EE">
      <w:pPr>
        <w:bidi w:val="0"/>
        <w:rPr>
          <w:rFonts w:hint="eastAsia" w:ascii="仿宋" w:hAnsi="仿宋" w:eastAsia="仿宋" w:cs="仿宋"/>
        </w:rPr>
      </w:pPr>
      <w:r>
        <w:rPr>
          <w:rFonts w:hint="eastAsia" w:ascii="仿宋" w:hAnsi="仿宋" w:eastAsia="仿宋" w:cs="仿宋"/>
          <w:lang w:val="en-US" w:eastAsia="zh-CN"/>
        </w:rPr>
        <w:t>当前研究生招生专业为图书馆学、情报学和档案学三个专业。通过加强招生宣传和选拔工作，报考人数呈指数增长（2020年达到60人），招生规模不断扩大（2020年达到14人），连续五年持续增长。生源结构不断优化，学生专业相关度高，专业基础较为深厚。</w:t>
      </w:r>
    </w:p>
    <w:p w14:paraId="4D980C94">
      <w:pPr>
        <w:bidi w:val="0"/>
        <w:rPr>
          <w:rFonts w:hint="eastAsia" w:ascii="仿宋" w:hAnsi="仿宋" w:eastAsia="仿宋" w:cs="仿宋"/>
          <w:lang w:val="en-US" w:eastAsia="zh-CN"/>
        </w:rPr>
      </w:pPr>
      <w:r>
        <w:rPr>
          <w:rFonts w:hint="eastAsia" w:ascii="仿宋" w:hAnsi="仿宋" w:eastAsia="仿宋" w:cs="仿宋"/>
          <w:lang w:val="en-US" w:eastAsia="zh-CN"/>
        </w:rPr>
        <w:t>在思政教育方面，“知行”品牌铸魂立德，深入人心。“知行”品牌2009年创立，现已进入“三全育人”新阶段，成为立德树人重要平台。《“知行”“三全”育人体系》获批教育部“三全育人”综合改革试点学院，《“知行”“三全育人”体系建设》获批山西省高校教改创新项目，《“知行”文化育人体系》《“知行”公寓文化建设》《“知行传媒”微信平台》获评山西省思政工作精品项目。</w:t>
      </w:r>
    </w:p>
    <w:p w14:paraId="6ED63F67">
      <w:pPr>
        <w:bidi w:val="0"/>
        <w:rPr>
          <w:rFonts w:hint="eastAsia" w:ascii="仿宋" w:hAnsi="仿宋" w:eastAsia="仿宋" w:cs="仿宋"/>
          <w:lang w:val="en-US" w:eastAsia="zh-CN"/>
        </w:rPr>
      </w:pPr>
      <w:r>
        <w:rPr>
          <w:rFonts w:hint="eastAsia" w:ascii="仿宋" w:hAnsi="仿宋" w:eastAsia="仿宋" w:cs="仿宋"/>
          <w:lang w:val="en-US" w:eastAsia="zh-CN"/>
        </w:rPr>
        <w:t>党建思政百花齐放，硕果累累。研究生第二党支部被评为山西省高校党建工作样板支部；教师第四党支部获校级“先进党支部”称号；《高校辅导员多维度育人体系构建研究》《“三全育人”视角下高校辅导员的角色定位及作用》获批山西省高校哲学社会科学研究项目；1人被评为山西大学“辅导员年度人物”、1人被评为山西大学“十佳辅导员”；1人获得2019年度“中国大学生自强之星”荣誉称号，这是本学位点所在学院学生各类获奖中迄今获得的最高荣誉；在每年的各类创新创业赛事中，本学位点学生都会载誉而归。尤其是刘爱琴老师在此项工作中成绩突出，指导学院各专业学生获得省级以上奖项20余项，包括“互联网+”全国大学生创新创业大赛亚军，该奖项为山西省高校在此项赛事中获得的最高奖项。</w:t>
      </w:r>
    </w:p>
    <w:p w14:paraId="4AB08657">
      <w:pPr>
        <w:bidi w:val="0"/>
        <w:rPr>
          <w:rFonts w:hint="eastAsia" w:ascii="仿宋" w:hAnsi="仿宋" w:eastAsia="仿宋" w:cs="仿宋"/>
          <w:lang w:val="en-US" w:eastAsia="zh-CN"/>
        </w:rPr>
      </w:pPr>
      <w:r>
        <w:rPr>
          <w:rFonts w:hint="eastAsia" w:ascii="仿宋" w:hAnsi="仿宋" w:eastAsia="仿宋" w:cs="仿宋"/>
          <w:lang w:val="en-US" w:eastAsia="zh-CN"/>
        </w:rPr>
        <w:t>课程思政、实践育人独具特色，成效显著。课程思政方面，本学位点对专业平台课和专业必修课进行课程思政改革，实现本科生、研究生课程衔接与联动。1门课程成为省级教改项目，2门课程成为校级教改项目。课程思政理念深入人心，成为教师教书育人本职的思想自觉和行动自觉。实践育人方面组织研究生参与贫困县退出和困难职工解困脱困第三方评估，学生在服务奉献中体验国情社情，厚植爱国情怀，强化报国志向。</w:t>
      </w:r>
    </w:p>
    <w:p w14:paraId="7B07434D">
      <w:pPr>
        <w:bidi w:val="0"/>
        <w:rPr>
          <w:rFonts w:hint="eastAsia" w:ascii="仿宋" w:hAnsi="仿宋" w:eastAsia="仿宋" w:cs="仿宋"/>
          <w:lang w:val="en-US" w:eastAsia="zh-CN"/>
        </w:rPr>
      </w:pPr>
      <w:r>
        <w:rPr>
          <w:rFonts w:hint="eastAsia" w:ascii="仿宋" w:hAnsi="仿宋" w:eastAsia="仿宋" w:cs="仿宋"/>
          <w:lang w:val="en-US" w:eastAsia="zh-CN"/>
        </w:rPr>
        <w:t>此外，在每一届新生入学教育中，本学位点负责人都将学风问题单列出来专门进行宣讲，让学生一入校门就对学风问题高度重视。在平时课程中，开设研究生学术道德培养课程，系统学习学术道德的范畴以及违纪的相关处理方式。另外要求班长带领大家研读《山西大学研究生手册》，对学校和学院的相关规定进行系统学习。当前，学生们谨遵相关规定，未出现违反学风学纪的情况。</w:t>
      </w:r>
    </w:p>
    <w:p w14:paraId="1EA80E3A">
      <w:pPr>
        <w:bidi w:val="0"/>
        <w:rPr>
          <w:rFonts w:hint="eastAsia" w:ascii="仿宋" w:hAnsi="仿宋" w:eastAsia="仿宋" w:cs="仿宋"/>
          <w:lang w:val="en-US" w:eastAsia="zh-CN"/>
        </w:rPr>
      </w:pPr>
      <w:r>
        <w:rPr>
          <w:rFonts w:hint="eastAsia" w:ascii="仿宋" w:hAnsi="仿宋" w:eastAsia="仿宋" w:cs="仿宋"/>
          <w:lang w:val="en-US" w:eastAsia="zh-CN"/>
        </w:rPr>
        <w:t>需要特别指出的是，本学位点秉持“知行合一”的理念全方位立体化实施“三全育人”，在就业方面倡导“积极投身边远地区建设，扎根基层为人民服务”的理念。现有1名研究生在边远地区就业，有3名研究生在基层岗位就业。</w:t>
      </w:r>
    </w:p>
    <w:p w14:paraId="3140F323">
      <w:pPr>
        <w:bidi w:val="0"/>
        <w:rPr>
          <w:rFonts w:hint="eastAsia" w:ascii="仿宋" w:hAnsi="仿宋" w:eastAsia="仿宋" w:cs="仿宋"/>
          <w:lang w:val="en-US" w:eastAsia="zh-CN"/>
        </w:rPr>
      </w:pPr>
      <w:r>
        <w:rPr>
          <w:rFonts w:hint="eastAsia" w:ascii="仿宋" w:hAnsi="仿宋" w:eastAsia="仿宋" w:cs="仿宋"/>
          <w:lang w:val="en-US" w:eastAsia="zh-CN"/>
        </w:rPr>
        <w:t>学生就业率稳居全校前列。2020年共有11位毕业生，全部授予学位，其中10位毕业生均已就业，就业率为90.9%。1位毕业生升学到中国人民大学继续攻读博士学位。9位毕业生为协议和合同就业。2020年毕业生中有5位进入企业，如北京思特奇信息技术有限公司、全景求是管理顾问（北京）有限公司等企业；有2位毕业生签约了公益一类的事业单位，包括公共图书馆和档案局；1位毕业生进入机关单位工作；1位毕业生进入高等教育单位工作。</w:t>
      </w:r>
    </w:p>
    <w:p w14:paraId="408FA9F9">
      <w:pPr>
        <w:spacing w:line="360" w:lineRule="auto"/>
        <w:ind w:left="0" w:leftChars="0" w:firstLine="0" w:firstLineChars="0"/>
        <w:outlineLvl w:val="0"/>
        <w:rPr>
          <w:rFonts w:hint="eastAsia" w:ascii="仿宋" w:hAnsi="仿宋" w:eastAsia="仿宋" w:cs="仿宋"/>
          <w:b/>
          <w:bCs/>
          <w:sz w:val="36"/>
          <w:szCs w:val="36"/>
        </w:rPr>
      </w:pPr>
      <w:r>
        <w:rPr>
          <w:rFonts w:hint="eastAsia" w:ascii="仿宋" w:hAnsi="仿宋" w:eastAsia="仿宋" w:cs="仿宋"/>
          <w:b/>
          <w:bCs/>
          <w:sz w:val="36"/>
          <w:szCs w:val="36"/>
          <w:lang w:val="en-US" w:eastAsia="zh-CN"/>
        </w:rPr>
        <w:t>三、</w:t>
      </w:r>
      <w:r>
        <w:rPr>
          <w:rFonts w:hint="eastAsia" w:ascii="仿宋" w:hAnsi="仿宋" w:eastAsia="仿宋" w:cs="仿宋"/>
          <w:b/>
          <w:bCs/>
          <w:sz w:val="36"/>
          <w:szCs w:val="36"/>
        </w:rPr>
        <w:t>学位授权点建设存在的问题</w:t>
      </w:r>
    </w:p>
    <w:p w14:paraId="7F072E7D">
      <w:pPr>
        <w:bidi w:val="0"/>
        <w:rPr>
          <w:rFonts w:hint="eastAsia" w:ascii="仿宋" w:hAnsi="仿宋" w:eastAsia="仿宋" w:cs="仿宋"/>
          <w:b/>
          <w:bCs/>
          <w:lang w:val="en-US" w:eastAsia="zh-CN"/>
        </w:rPr>
      </w:pPr>
      <w:r>
        <w:rPr>
          <w:rFonts w:hint="eastAsia" w:ascii="仿宋" w:hAnsi="仿宋" w:eastAsia="仿宋" w:cs="仿宋"/>
          <w:b/>
          <w:bCs/>
          <w:lang w:val="en-US" w:eastAsia="zh-CN"/>
        </w:rPr>
        <w:t>（一）教师队伍年龄老化</w:t>
      </w:r>
    </w:p>
    <w:p w14:paraId="77E43D68">
      <w:pPr>
        <w:bidi w:val="0"/>
        <w:rPr>
          <w:rFonts w:hint="eastAsia" w:ascii="仿宋" w:hAnsi="仿宋" w:eastAsia="仿宋" w:cs="仿宋"/>
          <w:lang w:val="en-US" w:eastAsia="zh-CN"/>
        </w:rPr>
      </w:pPr>
      <w:r>
        <w:rPr>
          <w:rFonts w:hint="eastAsia" w:ascii="仿宋" w:hAnsi="仿宋" w:eastAsia="仿宋" w:cs="仿宋"/>
          <w:lang w:val="en-US" w:eastAsia="zh-CN"/>
        </w:rPr>
        <w:t>教师年龄老化现象较为严重，近8年未引入新教师。近年来，约4位教授面临退休问题，队伍年龄结构面临失衡难题，未来势必影响本学科点竞争力。</w:t>
      </w:r>
    </w:p>
    <w:p w14:paraId="185F84C1">
      <w:pPr>
        <w:bidi w:val="0"/>
        <w:rPr>
          <w:rFonts w:hint="eastAsia" w:ascii="仿宋" w:hAnsi="仿宋" w:eastAsia="仿宋" w:cs="仿宋"/>
          <w:b/>
          <w:bCs/>
          <w:lang w:val="en-US" w:eastAsia="zh-CN"/>
        </w:rPr>
      </w:pPr>
      <w:r>
        <w:rPr>
          <w:rFonts w:hint="eastAsia" w:ascii="仿宋" w:hAnsi="仿宋" w:eastAsia="仿宋" w:cs="仿宋"/>
          <w:b/>
          <w:bCs/>
          <w:lang w:val="en-US" w:eastAsia="zh-CN"/>
        </w:rPr>
        <w:t>（二）博士点申报有待突破</w:t>
      </w:r>
    </w:p>
    <w:p w14:paraId="08F1EDAB">
      <w:pPr>
        <w:bidi w:val="0"/>
        <w:rPr>
          <w:rFonts w:hint="eastAsia" w:ascii="仿宋" w:hAnsi="仿宋" w:eastAsia="仿宋" w:cs="仿宋"/>
          <w:lang w:val="en-US" w:eastAsia="zh-CN"/>
        </w:rPr>
      </w:pPr>
      <w:r>
        <w:rPr>
          <w:rFonts w:hint="eastAsia" w:ascii="仿宋" w:hAnsi="仿宋" w:eastAsia="仿宋" w:cs="仿宋"/>
          <w:lang w:val="en-US" w:eastAsia="zh-CN"/>
        </w:rPr>
        <w:t>博士点申请仍未突破，尚未实现高层次人才培养。虽然经过多次论证，但是由于各种原因未申报成功博士点，在其他博士点学科下亦未交叉出合适的研究方向，培养高层次人才的学科平台亟待提升。</w:t>
      </w:r>
    </w:p>
    <w:p w14:paraId="3592D25E">
      <w:pPr>
        <w:bidi w:val="0"/>
        <w:rPr>
          <w:rFonts w:hint="eastAsia" w:ascii="仿宋" w:hAnsi="仿宋" w:eastAsia="仿宋" w:cs="仿宋"/>
          <w:b/>
          <w:bCs/>
          <w:lang w:val="en-US" w:eastAsia="zh-CN"/>
        </w:rPr>
      </w:pPr>
      <w:r>
        <w:rPr>
          <w:rFonts w:hint="eastAsia" w:ascii="仿宋" w:hAnsi="仿宋" w:eastAsia="仿宋" w:cs="仿宋"/>
          <w:b/>
          <w:bCs/>
          <w:lang w:val="en-US" w:eastAsia="zh-CN"/>
        </w:rPr>
        <w:t>（三）学术交流数量有待提高</w:t>
      </w:r>
    </w:p>
    <w:p w14:paraId="159DF297">
      <w:pPr>
        <w:bidi w:val="0"/>
        <w:rPr>
          <w:rFonts w:hint="eastAsia" w:ascii="仿宋" w:hAnsi="仿宋" w:eastAsia="仿宋" w:cs="仿宋"/>
          <w:lang w:val="en-US" w:eastAsia="zh-CN"/>
        </w:rPr>
      </w:pPr>
      <w:r>
        <w:rPr>
          <w:rFonts w:hint="eastAsia" w:ascii="仿宋" w:hAnsi="仿宋" w:eastAsia="仿宋" w:cs="仿宋"/>
          <w:lang w:val="en-US" w:eastAsia="zh-CN"/>
        </w:rPr>
        <w:t>学术交流“请进来”还不够。2020年虽然已经邀请了3位学者举办讲座，但是总体数量还很少，针对研究方向特色的学术报告还比较缺乏。</w:t>
      </w:r>
    </w:p>
    <w:p w14:paraId="03CD4CF2">
      <w:pPr>
        <w:spacing w:line="360" w:lineRule="auto"/>
        <w:ind w:left="0" w:leftChars="0" w:firstLine="0" w:firstLineChars="0"/>
        <w:outlineLvl w:val="0"/>
        <w:rPr>
          <w:rFonts w:hint="eastAsia" w:ascii="仿宋" w:hAnsi="仿宋" w:eastAsia="仿宋" w:cs="仿宋"/>
          <w:b/>
          <w:bCs/>
          <w:sz w:val="36"/>
          <w:szCs w:val="36"/>
        </w:rPr>
      </w:pPr>
      <w:r>
        <w:rPr>
          <w:rFonts w:hint="eastAsia" w:ascii="仿宋" w:hAnsi="仿宋" w:eastAsia="仿宋" w:cs="仿宋"/>
          <w:b/>
          <w:bCs/>
          <w:sz w:val="36"/>
          <w:szCs w:val="36"/>
          <w:lang w:val="en-US" w:eastAsia="zh-CN"/>
        </w:rPr>
        <w:t>四、学位授权点下一年度</w:t>
      </w:r>
      <w:r>
        <w:rPr>
          <w:rFonts w:hint="eastAsia" w:ascii="仿宋" w:hAnsi="仿宋" w:eastAsia="仿宋" w:cs="仿宋"/>
          <w:b/>
          <w:bCs/>
          <w:sz w:val="36"/>
          <w:szCs w:val="36"/>
        </w:rPr>
        <w:t>建设计划</w:t>
      </w:r>
    </w:p>
    <w:p w14:paraId="47EA3E21">
      <w:pPr>
        <w:bidi w:val="0"/>
        <w:rPr>
          <w:rFonts w:hint="eastAsia" w:ascii="仿宋" w:hAnsi="仿宋" w:eastAsia="仿宋" w:cs="仿宋"/>
          <w:lang w:val="en-US" w:eastAsia="zh-CN"/>
        </w:rPr>
      </w:pPr>
      <w:r>
        <w:rPr>
          <w:rFonts w:hint="eastAsia" w:ascii="仿宋" w:hAnsi="仿宋" w:eastAsia="仿宋" w:cs="仿宋"/>
          <w:lang w:val="en-US" w:eastAsia="zh-CN"/>
        </w:rPr>
        <w:t>针对存在问题，对标兄弟院校的发展状况，山西大学图书情报与档案管理将进一步加大人才引进，引育并重，提升师资水平；积极寻求学科交叉，提升办学层次；加大交流力度，提高学科显示度；改善办学条件，创建一流学习工作环境；追求学术卓越，产出更多高质量成果。通过不断努力，把山西大学图书情报与档案管理建设成为区域特色鲜明的高水平一流学科。</w:t>
      </w:r>
    </w:p>
    <w:p w14:paraId="0CB4F467">
      <w:pPr>
        <w:numPr>
          <w:ilvl w:val="0"/>
          <w:numId w:val="0"/>
        </w:numPr>
        <w:bidi w:val="0"/>
        <w:ind w:firstLine="615" w:firstLineChars="0"/>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（一）千方百计提升导师队伍整体水平</w:t>
      </w:r>
    </w:p>
    <w:p w14:paraId="7E573086">
      <w:pPr>
        <w:numPr>
          <w:ilvl w:val="0"/>
          <w:numId w:val="0"/>
        </w:numPr>
        <w:bidi w:val="0"/>
        <w:ind w:firstLine="615" w:firstLineChars="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从根本上保障图书情报与档案管理学位点高竞争力发展。一是加强教师人才引进。针对师资老化和新教师空缺的情况，2021年争取能引进1位985高校（中科院）博士1名。二是继续推荐教师到各类型组织去参观和培训。选派教师到全国著名图书馆、情报所、档案馆、数据分析公司等进行访问、交流和培训，掌握当前的社会需求和最新进展，融入到平时课程讲授中，提升授课质量。</w:t>
      </w:r>
    </w:p>
    <w:p w14:paraId="55366B34">
      <w:pPr>
        <w:bidi w:val="0"/>
        <w:rPr>
          <w:rFonts w:hint="eastAsia" w:ascii="仿宋" w:hAnsi="仿宋" w:eastAsia="仿宋" w:cs="仿宋"/>
          <w:b/>
          <w:bCs/>
          <w:lang w:val="en-US" w:eastAsia="zh-CN"/>
        </w:rPr>
      </w:pPr>
      <w:r>
        <w:rPr>
          <w:rFonts w:hint="eastAsia" w:ascii="仿宋" w:hAnsi="仿宋" w:eastAsia="仿宋" w:cs="仿宋"/>
          <w:b/>
          <w:bCs/>
          <w:lang w:val="en-US" w:eastAsia="zh-CN"/>
        </w:rPr>
        <w:t>（二）积极探索学科交叉</w:t>
      </w:r>
    </w:p>
    <w:p w14:paraId="7A3632B6">
      <w:pPr>
        <w:bidi w:val="0"/>
        <w:rPr>
          <w:rFonts w:hint="eastAsia" w:ascii="仿宋" w:hAnsi="仿宋" w:eastAsia="仿宋" w:cs="仿宋"/>
          <w:lang w:val="en-US" w:eastAsia="zh-CN"/>
        </w:rPr>
      </w:pPr>
      <w:r>
        <w:rPr>
          <w:rFonts w:hint="eastAsia" w:ascii="仿宋" w:hAnsi="仿宋" w:eastAsia="仿宋" w:cs="仿宋"/>
          <w:lang w:val="en-US" w:eastAsia="zh-CN"/>
        </w:rPr>
        <w:t>积极探索学科交叉，提升图书情报与档案管理的办学层次。与管理科学与工程在“数据分析与管理”方面进行交叉，设置博士培养研究方向，在大数据检索、组织和分析方面有所建树；与教育学进行交叉，在科研评价方面建立省级智库；与计算机科学与技术、统计学进行交叉，在信息组织与挖掘方面有新突破。</w:t>
      </w:r>
    </w:p>
    <w:p w14:paraId="52855C02">
      <w:pPr>
        <w:bidi w:val="0"/>
        <w:rPr>
          <w:rFonts w:hint="eastAsia" w:ascii="仿宋" w:hAnsi="仿宋" w:eastAsia="仿宋" w:cs="仿宋"/>
          <w:lang w:val="en-US" w:eastAsia="zh-CN"/>
        </w:rPr>
      </w:pPr>
      <w:r>
        <w:rPr>
          <w:rFonts w:hint="eastAsia" w:ascii="仿宋" w:hAnsi="仿宋" w:eastAsia="仿宋" w:cs="仿宋"/>
          <w:lang w:val="en-US" w:eastAsia="zh-CN"/>
        </w:rPr>
        <w:t>紧抓科学研究这一生命线，力求科研质量有较大提升。通过学科内外合作，在国家社科基金重点项目方面再有斩获；在国家自然科学基金和国家社科基金一般项目立项2项左右；积极尝试组织申报教育部人文社科重大项目和国家社科基金重大项目，争取有新突破。在国内外重要期刊上人均发表2篇左右高质量论文。在各级层次奖项中有2项左右成果获奖。</w:t>
      </w:r>
    </w:p>
    <w:p w14:paraId="36E67966">
      <w:pPr>
        <w:bidi w:val="0"/>
        <w:rPr>
          <w:rFonts w:hint="eastAsia" w:ascii="仿宋" w:hAnsi="仿宋" w:eastAsia="仿宋" w:cs="仿宋"/>
          <w:b/>
          <w:bCs/>
          <w:lang w:val="en-US" w:eastAsia="zh-CN"/>
        </w:rPr>
      </w:pPr>
      <w:r>
        <w:rPr>
          <w:rFonts w:hint="eastAsia" w:ascii="仿宋" w:hAnsi="仿宋" w:eastAsia="仿宋" w:cs="仿宋"/>
          <w:b/>
          <w:bCs/>
          <w:lang w:val="en-US" w:eastAsia="zh-CN"/>
        </w:rPr>
        <w:t>（三）提升人才培养质量</w:t>
      </w:r>
    </w:p>
    <w:p w14:paraId="3406097B">
      <w:pPr>
        <w:bidi w:val="0"/>
        <w:rPr>
          <w:rFonts w:hint="eastAsia" w:ascii="仿宋" w:hAnsi="仿宋" w:eastAsia="仿宋" w:cs="仿宋"/>
          <w:lang w:val="en-US" w:eastAsia="zh-CN"/>
        </w:rPr>
      </w:pPr>
      <w:r>
        <w:rPr>
          <w:rFonts w:hint="eastAsia" w:ascii="仿宋" w:hAnsi="仿宋" w:eastAsia="仿宋" w:cs="仿宋"/>
          <w:lang w:val="en-US" w:eastAsia="zh-CN"/>
        </w:rPr>
        <w:t>改革研究生培养方式，进一步夯实培养平台。当前研究生入学考试中《信息管理概论》知识点多，较为基础，偏向于理论。鉴于图情档是一个应用型学科，考虑将《信息管理概论》替换为《信息检索》。将《信息管理概论》放在复试，主要考察基本知识与当前热点相结合情况。另外，依托东山新校区，建设高水平实验室。将和学院积极沟通，在东山新校区设立一个可容纳50人左右的实验室，配备50台电脑</w:t>
      </w:r>
      <w:r>
        <w:rPr>
          <w:rFonts w:hint="eastAsia" w:ascii="仿宋" w:hAnsi="仿宋" w:cs="仿宋"/>
          <w:lang w:val="en-US" w:eastAsia="zh-CN"/>
        </w:rPr>
        <w:t>并安装</w:t>
      </w:r>
      <w:bookmarkStart w:id="0" w:name="_GoBack"/>
      <w:bookmarkEnd w:id="0"/>
      <w:r>
        <w:rPr>
          <w:rFonts w:hint="eastAsia" w:ascii="仿宋" w:hAnsi="仿宋" w:eastAsia="仿宋" w:cs="仿宋"/>
          <w:lang w:val="en-US" w:eastAsia="zh-CN"/>
        </w:rPr>
        <w:t>Python、SPSS、Matlab等科学软件。鼓励师生走出去，积极邀请学术名家走进来，扩大学术交流。邀请山西省图书馆、山西省情报所、山西省档案馆的研究人员3</w:t>
      </w:r>
      <w:r>
        <w:rPr>
          <w:rFonts w:hint="default" w:ascii="Times New Roman" w:hAnsi="Times New Roman" w:cs="Times New Roman"/>
          <w:lang w:val="en-US" w:eastAsia="zh-CN"/>
        </w:rPr>
        <w:t>~</w:t>
      </w:r>
      <w:r>
        <w:rPr>
          <w:rFonts w:hint="eastAsia" w:ascii="仿宋" w:hAnsi="仿宋" w:eastAsia="仿宋" w:cs="仿宋"/>
          <w:lang w:val="en-US" w:eastAsia="zh-CN"/>
        </w:rPr>
        <w:t>5名进行专业实践讲座；邀请武汉大学、南京大学、华东师范大学等著名高校就信息组织、数据挖掘、信息计量等方面进行专题讲座。鼓励师生通过国家公派访学/留学等方式进行学术交流，提升国际化研究视野。</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E7A"/>
    <w:rsid w:val="00031CDE"/>
    <w:rsid w:val="00032C9D"/>
    <w:rsid w:val="000445D4"/>
    <w:rsid w:val="000705B8"/>
    <w:rsid w:val="00074011"/>
    <w:rsid w:val="0008013D"/>
    <w:rsid w:val="00085E22"/>
    <w:rsid w:val="000B0A18"/>
    <w:rsid w:val="000B35B4"/>
    <w:rsid w:val="000B5EFA"/>
    <w:rsid w:val="000B70A0"/>
    <w:rsid w:val="000B721F"/>
    <w:rsid w:val="000B7A88"/>
    <w:rsid w:val="000D1BE2"/>
    <w:rsid w:val="000D3ACC"/>
    <w:rsid w:val="001161F0"/>
    <w:rsid w:val="001303EF"/>
    <w:rsid w:val="00143525"/>
    <w:rsid w:val="00154025"/>
    <w:rsid w:val="001602AE"/>
    <w:rsid w:val="00180E8C"/>
    <w:rsid w:val="001948B7"/>
    <w:rsid w:val="001954A2"/>
    <w:rsid w:val="001973AD"/>
    <w:rsid w:val="001A1815"/>
    <w:rsid w:val="001D538E"/>
    <w:rsid w:val="001E6D6E"/>
    <w:rsid w:val="001F52AC"/>
    <w:rsid w:val="001F7CB4"/>
    <w:rsid w:val="002046A9"/>
    <w:rsid w:val="0021060C"/>
    <w:rsid w:val="00222BEC"/>
    <w:rsid w:val="00235527"/>
    <w:rsid w:val="002A6D27"/>
    <w:rsid w:val="002B0685"/>
    <w:rsid w:val="002C0E4E"/>
    <w:rsid w:val="002C4C36"/>
    <w:rsid w:val="002D33D3"/>
    <w:rsid w:val="002E5E40"/>
    <w:rsid w:val="002E696E"/>
    <w:rsid w:val="002F5022"/>
    <w:rsid w:val="00303EF9"/>
    <w:rsid w:val="00333BD1"/>
    <w:rsid w:val="003A1AB3"/>
    <w:rsid w:val="003D7FC6"/>
    <w:rsid w:val="003E1DA3"/>
    <w:rsid w:val="003E71DC"/>
    <w:rsid w:val="003F06C5"/>
    <w:rsid w:val="00404D44"/>
    <w:rsid w:val="00431088"/>
    <w:rsid w:val="00443629"/>
    <w:rsid w:val="00444A8D"/>
    <w:rsid w:val="004705AC"/>
    <w:rsid w:val="00471E96"/>
    <w:rsid w:val="004770A1"/>
    <w:rsid w:val="004B4B68"/>
    <w:rsid w:val="004C3EAF"/>
    <w:rsid w:val="004E64ED"/>
    <w:rsid w:val="004E7B8B"/>
    <w:rsid w:val="004F0DB9"/>
    <w:rsid w:val="00505149"/>
    <w:rsid w:val="00512C45"/>
    <w:rsid w:val="00524ABE"/>
    <w:rsid w:val="00530F72"/>
    <w:rsid w:val="00532DA2"/>
    <w:rsid w:val="005606EA"/>
    <w:rsid w:val="00563D2D"/>
    <w:rsid w:val="005724CE"/>
    <w:rsid w:val="005B57E0"/>
    <w:rsid w:val="005D3F20"/>
    <w:rsid w:val="005E5FF9"/>
    <w:rsid w:val="0062026D"/>
    <w:rsid w:val="0062350C"/>
    <w:rsid w:val="00636D88"/>
    <w:rsid w:val="0065518C"/>
    <w:rsid w:val="006648E0"/>
    <w:rsid w:val="00665ACE"/>
    <w:rsid w:val="00677A7E"/>
    <w:rsid w:val="006818EA"/>
    <w:rsid w:val="00686C86"/>
    <w:rsid w:val="006A7E58"/>
    <w:rsid w:val="006D4E7A"/>
    <w:rsid w:val="007062C4"/>
    <w:rsid w:val="007358BC"/>
    <w:rsid w:val="00773B65"/>
    <w:rsid w:val="007803DB"/>
    <w:rsid w:val="00796048"/>
    <w:rsid w:val="007A285D"/>
    <w:rsid w:val="007B183F"/>
    <w:rsid w:val="007C1247"/>
    <w:rsid w:val="007D1069"/>
    <w:rsid w:val="00820AD6"/>
    <w:rsid w:val="0083145C"/>
    <w:rsid w:val="008348B0"/>
    <w:rsid w:val="00837834"/>
    <w:rsid w:val="00877B0A"/>
    <w:rsid w:val="008C2BD3"/>
    <w:rsid w:val="008D2D0C"/>
    <w:rsid w:val="00904300"/>
    <w:rsid w:val="0090732E"/>
    <w:rsid w:val="00915189"/>
    <w:rsid w:val="00926242"/>
    <w:rsid w:val="00940D05"/>
    <w:rsid w:val="00942EF4"/>
    <w:rsid w:val="00980631"/>
    <w:rsid w:val="00984CB9"/>
    <w:rsid w:val="009A1A1F"/>
    <w:rsid w:val="009B760E"/>
    <w:rsid w:val="009E4A0F"/>
    <w:rsid w:val="009F3D2F"/>
    <w:rsid w:val="00A104D7"/>
    <w:rsid w:val="00A4283D"/>
    <w:rsid w:val="00A43CEB"/>
    <w:rsid w:val="00A45168"/>
    <w:rsid w:val="00A67CC7"/>
    <w:rsid w:val="00A75153"/>
    <w:rsid w:val="00AA24B3"/>
    <w:rsid w:val="00AE0CE2"/>
    <w:rsid w:val="00AE3788"/>
    <w:rsid w:val="00B0722C"/>
    <w:rsid w:val="00B14873"/>
    <w:rsid w:val="00B173C9"/>
    <w:rsid w:val="00B27C94"/>
    <w:rsid w:val="00B31D9C"/>
    <w:rsid w:val="00B70BB8"/>
    <w:rsid w:val="00BA0A05"/>
    <w:rsid w:val="00BC33A0"/>
    <w:rsid w:val="00BC519D"/>
    <w:rsid w:val="00C234EA"/>
    <w:rsid w:val="00C3176F"/>
    <w:rsid w:val="00C444D5"/>
    <w:rsid w:val="00C4487C"/>
    <w:rsid w:val="00C53241"/>
    <w:rsid w:val="00CA6B51"/>
    <w:rsid w:val="00CB7D60"/>
    <w:rsid w:val="00CE0375"/>
    <w:rsid w:val="00D0286B"/>
    <w:rsid w:val="00D0595A"/>
    <w:rsid w:val="00D2029C"/>
    <w:rsid w:val="00D23B0E"/>
    <w:rsid w:val="00D57B6E"/>
    <w:rsid w:val="00D64CD2"/>
    <w:rsid w:val="00D80913"/>
    <w:rsid w:val="00D81AAD"/>
    <w:rsid w:val="00D86B7F"/>
    <w:rsid w:val="00D9096B"/>
    <w:rsid w:val="00DA0A10"/>
    <w:rsid w:val="00DE2F29"/>
    <w:rsid w:val="00DE58A1"/>
    <w:rsid w:val="00E557D2"/>
    <w:rsid w:val="00E747C7"/>
    <w:rsid w:val="00E7485D"/>
    <w:rsid w:val="00E81F2E"/>
    <w:rsid w:val="00EA45D2"/>
    <w:rsid w:val="00EB7165"/>
    <w:rsid w:val="00EF5316"/>
    <w:rsid w:val="00EF69E8"/>
    <w:rsid w:val="00F56F69"/>
    <w:rsid w:val="00F61572"/>
    <w:rsid w:val="00F64B36"/>
    <w:rsid w:val="00F81A13"/>
    <w:rsid w:val="00FB323D"/>
    <w:rsid w:val="00FB4A24"/>
    <w:rsid w:val="00FD33C4"/>
    <w:rsid w:val="00FE6713"/>
    <w:rsid w:val="00FF191B"/>
    <w:rsid w:val="00FF673A"/>
    <w:rsid w:val="01641D32"/>
    <w:rsid w:val="02757448"/>
    <w:rsid w:val="02C47311"/>
    <w:rsid w:val="02FB0470"/>
    <w:rsid w:val="03810CD9"/>
    <w:rsid w:val="04604966"/>
    <w:rsid w:val="04817B6C"/>
    <w:rsid w:val="04987F6D"/>
    <w:rsid w:val="04E442CC"/>
    <w:rsid w:val="04E8163E"/>
    <w:rsid w:val="04F4462F"/>
    <w:rsid w:val="05AE525B"/>
    <w:rsid w:val="05B0574B"/>
    <w:rsid w:val="061B5752"/>
    <w:rsid w:val="06FD130D"/>
    <w:rsid w:val="0857573B"/>
    <w:rsid w:val="08D13C7B"/>
    <w:rsid w:val="08F262EA"/>
    <w:rsid w:val="09014FE8"/>
    <w:rsid w:val="09050FFE"/>
    <w:rsid w:val="095A11C2"/>
    <w:rsid w:val="097E7D0A"/>
    <w:rsid w:val="09980707"/>
    <w:rsid w:val="0AF040CE"/>
    <w:rsid w:val="0AFE64B1"/>
    <w:rsid w:val="0C842708"/>
    <w:rsid w:val="0DD16E98"/>
    <w:rsid w:val="0DE713AC"/>
    <w:rsid w:val="0E185AB6"/>
    <w:rsid w:val="0F676D67"/>
    <w:rsid w:val="10B453B4"/>
    <w:rsid w:val="11C114DC"/>
    <w:rsid w:val="11DE24C0"/>
    <w:rsid w:val="12555A81"/>
    <w:rsid w:val="12A05712"/>
    <w:rsid w:val="12BE1AB9"/>
    <w:rsid w:val="13140B08"/>
    <w:rsid w:val="14564009"/>
    <w:rsid w:val="145F4F5D"/>
    <w:rsid w:val="149A75D6"/>
    <w:rsid w:val="14A27B08"/>
    <w:rsid w:val="15004C3B"/>
    <w:rsid w:val="16324B72"/>
    <w:rsid w:val="174901B0"/>
    <w:rsid w:val="177A3828"/>
    <w:rsid w:val="17A017A1"/>
    <w:rsid w:val="17EA2893"/>
    <w:rsid w:val="18347D9B"/>
    <w:rsid w:val="18F30B62"/>
    <w:rsid w:val="1940674E"/>
    <w:rsid w:val="1A223F31"/>
    <w:rsid w:val="1ACE7E97"/>
    <w:rsid w:val="1ADD6D01"/>
    <w:rsid w:val="1B054AC3"/>
    <w:rsid w:val="1FC4144A"/>
    <w:rsid w:val="1FC7382C"/>
    <w:rsid w:val="209656A7"/>
    <w:rsid w:val="209E55D7"/>
    <w:rsid w:val="211A4446"/>
    <w:rsid w:val="21310686"/>
    <w:rsid w:val="21911D36"/>
    <w:rsid w:val="21C87876"/>
    <w:rsid w:val="21DE2E82"/>
    <w:rsid w:val="22653FD8"/>
    <w:rsid w:val="229A550B"/>
    <w:rsid w:val="22E55496"/>
    <w:rsid w:val="235601E7"/>
    <w:rsid w:val="237A3F6A"/>
    <w:rsid w:val="23A37740"/>
    <w:rsid w:val="24593EB2"/>
    <w:rsid w:val="24860937"/>
    <w:rsid w:val="25A15D9D"/>
    <w:rsid w:val="26F45748"/>
    <w:rsid w:val="276D6A10"/>
    <w:rsid w:val="285A1D1D"/>
    <w:rsid w:val="28624A61"/>
    <w:rsid w:val="2984372F"/>
    <w:rsid w:val="2A3E6EC9"/>
    <w:rsid w:val="2A5E338E"/>
    <w:rsid w:val="2B1406E9"/>
    <w:rsid w:val="2B3762BC"/>
    <w:rsid w:val="2B724F26"/>
    <w:rsid w:val="2B767146"/>
    <w:rsid w:val="2C2F2C95"/>
    <w:rsid w:val="2CD9666A"/>
    <w:rsid w:val="2D6F1D24"/>
    <w:rsid w:val="2F314C37"/>
    <w:rsid w:val="2FD46551"/>
    <w:rsid w:val="2FF96F81"/>
    <w:rsid w:val="312672D7"/>
    <w:rsid w:val="31A04548"/>
    <w:rsid w:val="31A14745"/>
    <w:rsid w:val="327437BF"/>
    <w:rsid w:val="33FF5AB0"/>
    <w:rsid w:val="34AC6FC5"/>
    <w:rsid w:val="35AD41F8"/>
    <w:rsid w:val="36402D2E"/>
    <w:rsid w:val="364E0B85"/>
    <w:rsid w:val="36782417"/>
    <w:rsid w:val="37274334"/>
    <w:rsid w:val="37715DC4"/>
    <w:rsid w:val="3787721C"/>
    <w:rsid w:val="385A3EC9"/>
    <w:rsid w:val="38C96B24"/>
    <w:rsid w:val="39C468CC"/>
    <w:rsid w:val="3A7721FE"/>
    <w:rsid w:val="3ABD2FB3"/>
    <w:rsid w:val="3B937EE1"/>
    <w:rsid w:val="3BCB4B07"/>
    <w:rsid w:val="3BD27D6E"/>
    <w:rsid w:val="3C6C60C2"/>
    <w:rsid w:val="3C7541CB"/>
    <w:rsid w:val="3C7575F6"/>
    <w:rsid w:val="3C946F8E"/>
    <w:rsid w:val="3CC417F3"/>
    <w:rsid w:val="3EBE14BE"/>
    <w:rsid w:val="3F585517"/>
    <w:rsid w:val="3FB34064"/>
    <w:rsid w:val="3FF11E84"/>
    <w:rsid w:val="41605725"/>
    <w:rsid w:val="416B4737"/>
    <w:rsid w:val="434A01DC"/>
    <w:rsid w:val="437744B7"/>
    <w:rsid w:val="43A214CF"/>
    <w:rsid w:val="43DD3651"/>
    <w:rsid w:val="4543157B"/>
    <w:rsid w:val="45B64670"/>
    <w:rsid w:val="463A1B1C"/>
    <w:rsid w:val="4653697F"/>
    <w:rsid w:val="46DF7DCE"/>
    <w:rsid w:val="470B2AF2"/>
    <w:rsid w:val="4724258F"/>
    <w:rsid w:val="47A51C40"/>
    <w:rsid w:val="47EE44E6"/>
    <w:rsid w:val="483F1BE2"/>
    <w:rsid w:val="484566DC"/>
    <w:rsid w:val="49636ADC"/>
    <w:rsid w:val="497D19FC"/>
    <w:rsid w:val="499153D1"/>
    <w:rsid w:val="49ED563D"/>
    <w:rsid w:val="4A3F3DE5"/>
    <w:rsid w:val="4AFB1CF7"/>
    <w:rsid w:val="4B311E29"/>
    <w:rsid w:val="4B546ABC"/>
    <w:rsid w:val="4C775419"/>
    <w:rsid w:val="4CB91EFD"/>
    <w:rsid w:val="4D5A3C5F"/>
    <w:rsid w:val="4D763310"/>
    <w:rsid w:val="4E4D1433"/>
    <w:rsid w:val="4F0B0D22"/>
    <w:rsid w:val="4F244DBE"/>
    <w:rsid w:val="4F6252F3"/>
    <w:rsid w:val="4F762E84"/>
    <w:rsid w:val="4F9A16E8"/>
    <w:rsid w:val="50A2557A"/>
    <w:rsid w:val="50AD2C10"/>
    <w:rsid w:val="50DE08B2"/>
    <w:rsid w:val="50FD01D6"/>
    <w:rsid w:val="518157D0"/>
    <w:rsid w:val="51942992"/>
    <w:rsid w:val="51AF41FB"/>
    <w:rsid w:val="51E61FEB"/>
    <w:rsid w:val="527B4522"/>
    <w:rsid w:val="52B923D5"/>
    <w:rsid w:val="52ED27F6"/>
    <w:rsid w:val="538B4016"/>
    <w:rsid w:val="53E24C4C"/>
    <w:rsid w:val="54577692"/>
    <w:rsid w:val="54C31989"/>
    <w:rsid w:val="55111302"/>
    <w:rsid w:val="551A5C3A"/>
    <w:rsid w:val="55B9592C"/>
    <w:rsid w:val="55D21624"/>
    <w:rsid w:val="56242C13"/>
    <w:rsid w:val="566953EF"/>
    <w:rsid w:val="568455BA"/>
    <w:rsid w:val="5694475F"/>
    <w:rsid w:val="56FE0496"/>
    <w:rsid w:val="57780DF6"/>
    <w:rsid w:val="57B11BB3"/>
    <w:rsid w:val="5865356D"/>
    <w:rsid w:val="58E97462"/>
    <w:rsid w:val="590F6F3E"/>
    <w:rsid w:val="59F42E0A"/>
    <w:rsid w:val="5B1D5BDF"/>
    <w:rsid w:val="5BD02AB4"/>
    <w:rsid w:val="5C170938"/>
    <w:rsid w:val="5C280D66"/>
    <w:rsid w:val="5CA720F1"/>
    <w:rsid w:val="5CC17F5F"/>
    <w:rsid w:val="5CE71F2A"/>
    <w:rsid w:val="5D571939"/>
    <w:rsid w:val="5E174A35"/>
    <w:rsid w:val="5E3957DC"/>
    <w:rsid w:val="5EC43040"/>
    <w:rsid w:val="5FA322E4"/>
    <w:rsid w:val="618139BB"/>
    <w:rsid w:val="61B7600F"/>
    <w:rsid w:val="620962AA"/>
    <w:rsid w:val="62F841C2"/>
    <w:rsid w:val="63096D3A"/>
    <w:rsid w:val="63DB796A"/>
    <w:rsid w:val="64424B9F"/>
    <w:rsid w:val="646F6FE0"/>
    <w:rsid w:val="6501397E"/>
    <w:rsid w:val="65073893"/>
    <w:rsid w:val="65541A1B"/>
    <w:rsid w:val="65ED799E"/>
    <w:rsid w:val="65FC2CD6"/>
    <w:rsid w:val="66247C08"/>
    <w:rsid w:val="66EA3B6F"/>
    <w:rsid w:val="695603DC"/>
    <w:rsid w:val="6B80202D"/>
    <w:rsid w:val="6C3C716D"/>
    <w:rsid w:val="6C4108CB"/>
    <w:rsid w:val="6D2438AB"/>
    <w:rsid w:val="6D317C91"/>
    <w:rsid w:val="6E1F7AE3"/>
    <w:rsid w:val="6E660DE9"/>
    <w:rsid w:val="6EC15B37"/>
    <w:rsid w:val="6F22565D"/>
    <w:rsid w:val="6F8119B1"/>
    <w:rsid w:val="70FF3ABF"/>
    <w:rsid w:val="722B11A0"/>
    <w:rsid w:val="73261532"/>
    <w:rsid w:val="751E39BD"/>
    <w:rsid w:val="75523584"/>
    <w:rsid w:val="76D2432C"/>
    <w:rsid w:val="770400FB"/>
    <w:rsid w:val="770B1DD0"/>
    <w:rsid w:val="79C61A82"/>
    <w:rsid w:val="7A21216F"/>
    <w:rsid w:val="7C1A1F52"/>
    <w:rsid w:val="7C231B1F"/>
    <w:rsid w:val="7CF01D38"/>
    <w:rsid w:val="7D09214F"/>
    <w:rsid w:val="7D5C3AAA"/>
    <w:rsid w:val="7DDD3ECC"/>
    <w:rsid w:val="7DE20CDE"/>
    <w:rsid w:val="7EC52855"/>
    <w:rsid w:val="7ECC12B5"/>
    <w:rsid w:val="7EF938F2"/>
    <w:rsid w:val="7FB34697"/>
    <w:rsid w:val="7FFC1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shd w:val="clear" w:color="auto" w:fill="FFFFFF"/>
      <w:spacing w:before="0" w:beforeAutospacing="0" w:after="0" w:afterAutospacing="0" w:line="360" w:lineRule="auto"/>
      <w:ind w:firstLine="615" w:firstLineChars="0"/>
      <w:jc w:val="left"/>
    </w:pPr>
    <w:rPr>
      <w:rFonts w:ascii="Times New Roman" w:hAnsi="Times New Roman" w:eastAsia="仿宋" w:cs="Times New Roman"/>
      <w:kern w:val="2"/>
      <w:sz w:val="32"/>
      <w:szCs w:val="32"/>
      <w:lang w:val="en-US" w:eastAsia="zh-CN" w:bidi="ar-SA"/>
    </w:rPr>
  </w:style>
  <w:style w:type="paragraph" w:styleId="2">
    <w:name w:val="heading 2"/>
    <w:basedOn w:val="1"/>
    <w:next w:val="1"/>
    <w:link w:val="19"/>
    <w:unhideWhenUsed/>
    <w:qFormat/>
    <w:uiPriority w:val="9"/>
    <w:pPr>
      <w:keepNext/>
      <w:keepLines/>
      <w:spacing w:before="50" w:beforeLines="50" w:after="50" w:afterLines="50"/>
      <w:jc w:val="left"/>
      <w:outlineLvl w:val="1"/>
    </w:pPr>
    <w:rPr>
      <w:rFonts w:ascii="Arial" w:hAnsi="Arial" w:eastAsia="宋体"/>
      <w:b/>
      <w:sz w:val="24"/>
    </w:rPr>
  </w:style>
  <w:style w:type="paragraph" w:styleId="3">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character" w:default="1" w:styleId="11">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6"/>
    <w:semiHidden/>
    <w:unhideWhenUsed/>
    <w:qFormat/>
    <w:uiPriority w:val="99"/>
    <w:pPr>
      <w:jc w:val="left"/>
    </w:pPr>
  </w:style>
  <w:style w:type="paragraph" w:styleId="5">
    <w:name w:val="Balloon Text"/>
    <w:basedOn w:val="1"/>
    <w:link w:val="18"/>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Autospacing="1" w:afterAutospacing="1"/>
    </w:pPr>
    <w:rPr>
      <w:kern w:val="0"/>
      <w:sz w:val="24"/>
    </w:rPr>
  </w:style>
  <w:style w:type="paragraph" w:styleId="9">
    <w:name w:val="annotation subject"/>
    <w:basedOn w:val="4"/>
    <w:next w:val="4"/>
    <w:link w:val="17"/>
    <w:semiHidden/>
    <w:unhideWhenUsed/>
    <w:qFormat/>
    <w:uiPriority w:val="99"/>
    <w:rPr>
      <w:b/>
      <w:bCs/>
    </w:rPr>
  </w:style>
  <w:style w:type="character" w:styleId="12">
    <w:name w:val="annotation reference"/>
    <w:basedOn w:val="11"/>
    <w:semiHidden/>
    <w:unhideWhenUsed/>
    <w:qFormat/>
    <w:uiPriority w:val="99"/>
    <w:rPr>
      <w:sz w:val="21"/>
      <w:szCs w:val="21"/>
    </w:rPr>
  </w:style>
  <w:style w:type="character" w:customStyle="1" w:styleId="13">
    <w:name w:val="页眉 Char"/>
    <w:basedOn w:val="11"/>
    <w:link w:val="7"/>
    <w:qFormat/>
    <w:uiPriority w:val="99"/>
    <w:rPr>
      <w:sz w:val="18"/>
      <w:szCs w:val="18"/>
    </w:rPr>
  </w:style>
  <w:style w:type="character" w:customStyle="1" w:styleId="14">
    <w:name w:val="页脚 Char"/>
    <w:basedOn w:val="11"/>
    <w:link w:val="6"/>
    <w:qFormat/>
    <w:uiPriority w:val="99"/>
    <w:rPr>
      <w:sz w:val="18"/>
      <w:szCs w:val="18"/>
    </w:rPr>
  </w:style>
  <w:style w:type="paragraph" w:styleId="15">
    <w:name w:val="List Paragraph"/>
    <w:basedOn w:val="1"/>
    <w:unhideWhenUsed/>
    <w:qFormat/>
    <w:uiPriority w:val="99"/>
    <w:pPr>
      <w:ind w:firstLine="420" w:firstLineChars="200"/>
    </w:pPr>
  </w:style>
  <w:style w:type="character" w:customStyle="1" w:styleId="16">
    <w:name w:val="批注文字 Char"/>
    <w:basedOn w:val="11"/>
    <w:link w:val="4"/>
    <w:semiHidden/>
    <w:qFormat/>
    <w:uiPriority w:val="99"/>
    <w:rPr>
      <w:rFonts w:asciiTheme="minorHAnsi" w:hAnsiTheme="minorHAnsi" w:eastAsiaTheme="minorEastAsia" w:cstheme="minorBidi"/>
      <w:kern w:val="2"/>
      <w:sz w:val="21"/>
      <w:szCs w:val="22"/>
    </w:rPr>
  </w:style>
  <w:style w:type="character" w:customStyle="1" w:styleId="17">
    <w:name w:val="批注主题 Char"/>
    <w:basedOn w:val="16"/>
    <w:link w:val="9"/>
    <w:semiHidden/>
    <w:qFormat/>
    <w:uiPriority w:val="99"/>
    <w:rPr>
      <w:rFonts w:asciiTheme="minorHAnsi" w:hAnsiTheme="minorHAnsi" w:eastAsiaTheme="minorEastAsia" w:cstheme="minorBidi"/>
      <w:b/>
      <w:bCs/>
      <w:kern w:val="2"/>
      <w:sz w:val="21"/>
      <w:szCs w:val="22"/>
    </w:rPr>
  </w:style>
  <w:style w:type="character" w:customStyle="1" w:styleId="18">
    <w:name w:val="批注框文本 Char"/>
    <w:basedOn w:val="11"/>
    <w:link w:val="5"/>
    <w:semiHidden/>
    <w:qFormat/>
    <w:uiPriority w:val="99"/>
    <w:rPr>
      <w:rFonts w:asciiTheme="minorHAnsi" w:hAnsiTheme="minorHAnsi" w:eastAsiaTheme="minorEastAsia" w:cstheme="minorBidi"/>
      <w:kern w:val="2"/>
      <w:sz w:val="18"/>
      <w:szCs w:val="18"/>
    </w:rPr>
  </w:style>
  <w:style w:type="character" w:customStyle="1" w:styleId="19">
    <w:name w:val="标题 2 Char"/>
    <w:basedOn w:val="11"/>
    <w:link w:val="2"/>
    <w:qFormat/>
    <w:uiPriority w:val="9"/>
    <w:rPr>
      <w:rFonts w:ascii="Arial" w:hAnsi="Arial" w:cstheme="minorBidi"/>
      <w:b/>
      <w:kern w:val="2"/>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13</Pages>
  <Words>6405</Words>
  <Characters>6549</Characters>
  <Lines>47</Lines>
  <Paragraphs>13</Paragraphs>
  <TotalTime>98</TotalTime>
  <ScaleCrop>false</ScaleCrop>
  <LinksUpToDate>false</LinksUpToDate>
  <CharactersWithSpaces>6551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2021-03-05T01:27:00Z</dcterms:created>
  <dc:creator>Hewlett-Packard Company</dc:creator>
  <cp:lastModifiedBy>徐健panda</cp:lastModifiedBy>
  <cp:lastPrinted>2025-03-24T07:47:00Z</cp:lastPrinted>
  <dcterms:modified xsi:type="dcterms:W3CDTF">2025-03-25T09:37:37Z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ECC3084C5DEC45C196879F1781B75171</vt:lpwstr>
  </property>
  <property fmtid="{D5CDD505-2E9C-101B-9397-08002B2CF9AE}" pid="4" name="KSOTemplateDocerSaveRecord">
    <vt:lpwstr>eyJoZGlkIjoiMjgyMDExNzE5ZjE4N2QyZGIzNWJkOWJlN2JlZDRhMjYiLCJ1c2VySWQiOiIzMDYzNjEyMjAifQ==</vt:lpwstr>
  </property>
</Properties>
</file>