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2B" w:rsidRDefault="00392E9E">
      <w:pPr>
        <w:jc w:val="center"/>
        <w:rPr>
          <w:rFonts w:ascii="Times New Roman" w:eastAsia="黑体" w:hAnsi="Times New Roman" w:cs="Times New Roman"/>
          <w:sz w:val="32"/>
          <w:szCs w:val="32"/>
        </w:rPr>
      </w:pPr>
      <w:r>
        <w:rPr>
          <w:rFonts w:ascii="Times New Roman" w:eastAsia="黑体" w:hAnsi="Times New Roman" w:cs="Times New Roman"/>
          <w:sz w:val="32"/>
          <w:szCs w:val="32"/>
        </w:rPr>
        <w:t>山西大学管理科学与工程博（硕）士一级学科</w:t>
      </w:r>
    </w:p>
    <w:p w:rsidR="003F622B" w:rsidRDefault="00392E9E">
      <w:pPr>
        <w:jc w:val="center"/>
        <w:rPr>
          <w:rFonts w:ascii="Times New Roman" w:eastAsia="黑体" w:hAnsi="Times New Roman" w:cs="Times New Roman"/>
          <w:sz w:val="32"/>
          <w:szCs w:val="32"/>
        </w:rPr>
      </w:pPr>
      <w:r>
        <w:rPr>
          <w:rFonts w:ascii="Times New Roman" w:eastAsia="黑体" w:hAnsi="Times New Roman" w:cs="Times New Roman"/>
          <w:sz w:val="32"/>
          <w:szCs w:val="32"/>
        </w:rPr>
        <w:t>学位授权点建设年度报告（</w:t>
      </w:r>
      <w:r>
        <w:rPr>
          <w:rFonts w:ascii="Times New Roman" w:eastAsia="黑体" w:hAnsi="Times New Roman" w:cs="Times New Roman"/>
          <w:sz w:val="32"/>
          <w:szCs w:val="32"/>
        </w:rPr>
        <w:t>2020</w:t>
      </w:r>
      <w:r>
        <w:rPr>
          <w:rFonts w:ascii="Times New Roman" w:eastAsia="黑体" w:hAnsi="Times New Roman" w:cs="Times New Roman"/>
          <w:sz w:val="32"/>
          <w:szCs w:val="32"/>
        </w:rPr>
        <w:t>年）</w:t>
      </w:r>
    </w:p>
    <w:p w:rsidR="003F622B" w:rsidRDefault="003F622B">
      <w:pPr>
        <w:jc w:val="center"/>
        <w:rPr>
          <w:rFonts w:ascii="Times New Roman" w:eastAsia="黑体" w:hAnsi="Times New Roman" w:cs="Times New Roman"/>
          <w:sz w:val="32"/>
          <w:szCs w:val="32"/>
        </w:rPr>
      </w:pPr>
    </w:p>
    <w:p w:rsidR="003F622B" w:rsidRDefault="00392E9E">
      <w:pPr>
        <w:pStyle w:val="2"/>
        <w:ind w:firstLine="562"/>
        <w:rPr>
          <w:rFonts w:ascii="Times New Roman" w:hAnsi="Times New Roman" w:cs="Times New Roman"/>
        </w:rPr>
      </w:pPr>
      <w:r>
        <w:rPr>
          <w:rFonts w:ascii="Times New Roman" w:hAnsi="Times New Roman" w:cs="Times New Roman"/>
        </w:rPr>
        <w:t>一、学位授权点基本情况</w:t>
      </w:r>
    </w:p>
    <w:p w:rsidR="003F622B" w:rsidRDefault="00392E9E">
      <w:pPr>
        <w:spacing w:line="52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山西大学管理科学与工程</w:t>
      </w:r>
      <w:r>
        <w:rPr>
          <w:rFonts w:asciiTheme="minorEastAsia" w:hAnsiTheme="minorEastAsia" w:cs="Times New Roman" w:hint="eastAsia"/>
          <w:sz w:val="24"/>
          <w:szCs w:val="24"/>
        </w:rPr>
        <w:t>博（硕）士一级学科授权点（以下称本授权点）是山西省重点学科，现有</w:t>
      </w:r>
      <w:r>
        <w:rPr>
          <w:rFonts w:asciiTheme="minorEastAsia" w:hAnsiTheme="minorEastAsia" w:cs="Times New Roman"/>
          <w:sz w:val="24"/>
          <w:szCs w:val="24"/>
        </w:rPr>
        <w:t>1个一级学科硕士点（</w:t>
      </w:r>
      <w:r>
        <w:rPr>
          <w:rFonts w:asciiTheme="minorEastAsia" w:hAnsiTheme="minorEastAsia" w:cs="Times New Roman" w:hint="eastAsia"/>
          <w:sz w:val="24"/>
          <w:szCs w:val="24"/>
        </w:rPr>
        <w:t>其前身为系统工程硕士点，1993年获批硕士学位授予权，1998年国家学位办统一更名为管理科学与工程）</w:t>
      </w:r>
      <w:r>
        <w:rPr>
          <w:rFonts w:asciiTheme="minorEastAsia" w:hAnsiTheme="minorEastAsia" w:cs="Times New Roman"/>
          <w:sz w:val="24"/>
          <w:szCs w:val="24"/>
        </w:rPr>
        <w:t>、1个一级学科博士点（2003年获得博士学位授予权）、</w:t>
      </w:r>
      <w:r>
        <w:rPr>
          <w:rFonts w:asciiTheme="minorEastAsia" w:hAnsiTheme="minorEastAsia" w:cs="Times New Roman" w:hint="eastAsia"/>
          <w:sz w:val="24"/>
          <w:szCs w:val="24"/>
        </w:rPr>
        <w:t>1个</w:t>
      </w:r>
      <w:r>
        <w:rPr>
          <w:rFonts w:asciiTheme="minorEastAsia" w:hAnsiTheme="minorEastAsia" w:cs="Times New Roman"/>
          <w:sz w:val="24"/>
          <w:szCs w:val="24"/>
        </w:rPr>
        <w:t>博士后科研流动站（2009年批准设立）。依托</w:t>
      </w:r>
      <w:r>
        <w:rPr>
          <w:rFonts w:asciiTheme="minorEastAsia" w:hAnsiTheme="minorEastAsia" w:cs="Times New Roman" w:hint="eastAsia"/>
          <w:sz w:val="24"/>
          <w:szCs w:val="24"/>
        </w:rPr>
        <w:t>本授权点</w:t>
      </w:r>
      <w:r>
        <w:rPr>
          <w:rFonts w:asciiTheme="minorEastAsia" w:hAnsiTheme="minorEastAsia" w:cs="Times New Roman"/>
          <w:sz w:val="24"/>
          <w:szCs w:val="24"/>
        </w:rPr>
        <w:t>，还获批 1个山西省人文社会科学重点研究基地“山西大学管理与决策研究中心”，1个“1331工程”管理与决策创新团队，1个“1331工程”智慧物流管理服务产业创新学科群。另外，</w:t>
      </w:r>
      <w:r>
        <w:rPr>
          <w:rFonts w:asciiTheme="minorEastAsia" w:hAnsiTheme="minorEastAsia" w:cs="Times New Roman" w:hint="eastAsia"/>
          <w:sz w:val="24"/>
          <w:szCs w:val="24"/>
        </w:rPr>
        <w:t>本授权点</w:t>
      </w:r>
      <w:r>
        <w:rPr>
          <w:rFonts w:asciiTheme="minorEastAsia" w:hAnsiTheme="minorEastAsia" w:cs="Times New Roman"/>
          <w:sz w:val="24"/>
          <w:szCs w:val="24"/>
        </w:rPr>
        <w:t>所依托的</w:t>
      </w:r>
      <w:r>
        <w:rPr>
          <w:rFonts w:asciiTheme="minorEastAsia" w:hAnsiTheme="minorEastAsia" w:cs="Times New Roman" w:hint="eastAsia"/>
          <w:sz w:val="24"/>
          <w:szCs w:val="24"/>
        </w:rPr>
        <w:t>山西大学经济与管理学院</w:t>
      </w:r>
      <w:r>
        <w:rPr>
          <w:rFonts w:asciiTheme="minorEastAsia" w:hAnsiTheme="minorEastAsia" w:cs="Times New Roman"/>
          <w:sz w:val="24"/>
          <w:szCs w:val="24"/>
        </w:rPr>
        <w:t>于</w:t>
      </w:r>
      <w:r>
        <w:rPr>
          <w:rFonts w:asciiTheme="minorEastAsia" w:hAnsiTheme="minorEastAsia" w:cs="Times New Roman" w:hint="eastAsia"/>
          <w:sz w:val="24"/>
          <w:szCs w:val="24"/>
        </w:rPr>
        <w:t>2019年获批山西省唯一的教育部“三全育人”综合改革试点院。</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Pr>
          <w:rFonts w:ascii="Times New Roman" w:hAnsi="Times New Roman" w:cs="Times New Roman"/>
          <w:b/>
          <w:bCs/>
          <w:color w:val="000000"/>
          <w:sz w:val="28"/>
          <w:szCs w:val="28"/>
        </w:rPr>
        <w:t>培养方向</w:t>
      </w:r>
    </w:p>
    <w:p w:rsidR="003F622B" w:rsidRDefault="00392E9E">
      <w:pPr>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经过近</w:t>
      </w:r>
      <w:r>
        <w:rPr>
          <w:rFonts w:ascii="Times New Roman" w:hAnsi="Times New Roman" w:cs="Times New Roman" w:hint="eastAsia"/>
          <w:sz w:val="24"/>
          <w:szCs w:val="24"/>
        </w:rPr>
        <w:t>30</w:t>
      </w:r>
      <w:r>
        <w:rPr>
          <w:rFonts w:ascii="Times New Roman" w:hAnsi="Times New Roman" w:cs="Times New Roman" w:hint="eastAsia"/>
          <w:sz w:val="24"/>
          <w:szCs w:val="24"/>
        </w:rPr>
        <w:t>年的发展，</w:t>
      </w:r>
      <w:r>
        <w:rPr>
          <w:rFonts w:asciiTheme="minorEastAsia" w:hAnsiTheme="minorEastAsia" w:cs="Times New Roman" w:hint="eastAsia"/>
          <w:sz w:val="24"/>
          <w:szCs w:val="24"/>
        </w:rPr>
        <w:t>本授权点</w:t>
      </w:r>
      <w:r>
        <w:rPr>
          <w:rFonts w:ascii="Times New Roman" w:hAnsi="Times New Roman" w:cs="Times New Roman"/>
          <w:sz w:val="24"/>
          <w:szCs w:val="24"/>
        </w:rPr>
        <w:t>已形成</w:t>
      </w:r>
      <w:r>
        <w:rPr>
          <w:rFonts w:ascii="Times New Roman" w:hAnsi="Times New Roman" w:cs="Times New Roman" w:hint="eastAsia"/>
          <w:sz w:val="24"/>
          <w:szCs w:val="24"/>
        </w:rPr>
        <w:t>4</w:t>
      </w:r>
      <w:r>
        <w:rPr>
          <w:rFonts w:ascii="Times New Roman" w:hAnsi="Times New Roman" w:cs="Times New Roman"/>
          <w:sz w:val="24"/>
          <w:szCs w:val="24"/>
        </w:rPr>
        <w:t>个稳定的研究方向。其中，</w:t>
      </w:r>
      <w:r>
        <w:rPr>
          <w:rFonts w:ascii="Times New Roman" w:hAnsi="Times New Roman" w:cs="Times New Roman"/>
          <w:b/>
          <w:bCs/>
          <w:sz w:val="24"/>
          <w:szCs w:val="24"/>
        </w:rPr>
        <w:t>“</w:t>
      </w:r>
      <w:r>
        <w:rPr>
          <w:rFonts w:ascii="Times New Roman" w:hAnsi="Times New Roman" w:cs="Times New Roman"/>
          <w:b/>
          <w:bCs/>
          <w:sz w:val="24"/>
          <w:szCs w:val="24"/>
        </w:rPr>
        <w:t>金融工程与风险管理</w:t>
      </w:r>
      <w:r>
        <w:rPr>
          <w:rFonts w:ascii="Times New Roman" w:hAnsi="Times New Roman" w:cs="Times New Roman"/>
          <w:b/>
          <w:bCs/>
          <w:sz w:val="24"/>
          <w:szCs w:val="24"/>
        </w:rPr>
        <w:t>”</w:t>
      </w:r>
      <w:r>
        <w:rPr>
          <w:rFonts w:ascii="Times New Roman" w:hAnsi="Times New Roman" w:cs="Times New Roman"/>
          <w:sz w:val="24"/>
          <w:szCs w:val="24"/>
        </w:rPr>
        <w:t>为优势方向，聚焦资产定价和风险管理理论，探索资产定价规律和金融风险防范对策；</w:t>
      </w:r>
      <w:r>
        <w:rPr>
          <w:rFonts w:ascii="Times New Roman" w:hAnsi="Times New Roman" w:cs="Times New Roman"/>
          <w:b/>
          <w:bCs/>
          <w:sz w:val="24"/>
          <w:szCs w:val="24"/>
        </w:rPr>
        <w:t>“</w:t>
      </w:r>
      <w:r>
        <w:rPr>
          <w:rFonts w:ascii="Times New Roman" w:hAnsi="Times New Roman" w:cs="Times New Roman"/>
          <w:b/>
          <w:bCs/>
          <w:sz w:val="24"/>
          <w:szCs w:val="24"/>
        </w:rPr>
        <w:t>组织生态与创新管理</w:t>
      </w:r>
      <w:r>
        <w:rPr>
          <w:rFonts w:ascii="Times New Roman" w:hAnsi="Times New Roman" w:cs="Times New Roman"/>
          <w:b/>
          <w:bCs/>
          <w:sz w:val="24"/>
          <w:szCs w:val="24"/>
        </w:rPr>
        <w:t>”</w:t>
      </w:r>
      <w:r>
        <w:rPr>
          <w:rFonts w:ascii="Times New Roman" w:hAnsi="Times New Roman" w:cs="Times New Roman"/>
          <w:sz w:val="24"/>
          <w:szCs w:val="24"/>
        </w:rPr>
        <w:t>为特色方向，聚焦组织生态、合作管理和社会网络等理论，运用博弈论、仿真、复杂网络等方法，研究企业（尤其是家族企业）内部稳定性与外部适应性问题；</w:t>
      </w:r>
      <w:r>
        <w:rPr>
          <w:rFonts w:ascii="Times New Roman" w:hAnsi="Times New Roman" w:cs="Times New Roman"/>
          <w:b/>
          <w:bCs/>
          <w:sz w:val="24"/>
          <w:szCs w:val="24"/>
        </w:rPr>
        <w:t>“</w:t>
      </w:r>
      <w:r>
        <w:rPr>
          <w:rFonts w:ascii="Times New Roman" w:hAnsi="Times New Roman" w:cs="Times New Roman"/>
          <w:b/>
          <w:bCs/>
          <w:sz w:val="24"/>
          <w:szCs w:val="24"/>
        </w:rPr>
        <w:t>排队与运营管理</w:t>
      </w:r>
      <w:r>
        <w:rPr>
          <w:rFonts w:ascii="Times New Roman" w:hAnsi="Times New Roman" w:cs="Times New Roman"/>
          <w:b/>
          <w:bCs/>
          <w:sz w:val="24"/>
          <w:szCs w:val="24"/>
        </w:rPr>
        <w:t>”</w:t>
      </w:r>
      <w:r>
        <w:rPr>
          <w:rFonts w:ascii="Times New Roman" w:hAnsi="Times New Roman" w:cs="Times New Roman"/>
          <w:b/>
          <w:bCs/>
          <w:sz w:val="24"/>
          <w:szCs w:val="24"/>
        </w:rPr>
        <w:t>方向</w:t>
      </w:r>
      <w:r>
        <w:rPr>
          <w:rFonts w:ascii="Times New Roman" w:hAnsi="Times New Roman" w:cs="Times New Roman"/>
          <w:sz w:val="24"/>
          <w:szCs w:val="24"/>
        </w:rPr>
        <w:t>运用运筹优化方法解决复杂系统中的资源配置问题；</w:t>
      </w:r>
      <w:r>
        <w:rPr>
          <w:rFonts w:ascii="Times New Roman" w:hAnsi="Times New Roman" w:cs="Times New Roman"/>
          <w:b/>
          <w:bCs/>
          <w:sz w:val="24"/>
          <w:szCs w:val="24"/>
        </w:rPr>
        <w:t>“</w:t>
      </w:r>
      <w:r>
        <w:rPr>
          <w:rFonts w:ascii="Times New Roman" w:hAnsi="Times New Roman" w:cs="Times New Roman"/>
          <w:b/>
          <w:bCs/>
          <w:sz w:val="24"/>
          <w:szCs w:val="24"/>
        </w:rPr>
        <w:t>预测决策与评价</w:t>
      </w:r>
      <w:r>
        <w:rPr>
          <w:rFonts w:ascii="Times New Roman" w:hAnsi="Times New Roman" w:cs="Times New Roman"/>
          <w:b/>
          <w:bCs/>
          <w:sz w:val="24"/>
          <w:szCs w:val="24"/>
        </w:rPr>
        <w:t>”</w:t>
      </w:r>
      <w:r>
        <w:rPr>
          <w:rFonts w:ascii="Times New Roman" w:hAnsi="Times New Roman" w:cs="Times New Roman"/>
          <w:b/>
          <w:bCs/>
          <w:sz w:val="24"/>
          <w:szCs w:val="24"/>
        </w:rPr>
        <w:t>方向</w:t>
      </w:r>
      <w:r>
        <w:rPr>
          <w:rFonts w:ascii="Times New Roman" w:hAnsi="Times New Roman" w:cs="Times New Roman"/>
          <w:sz w:val="24"/>
          <w:szCs w:val="24"/>
        </w:rPr>
        <w:t>运用系统科学思维，解决现实复杂系统的预测决策、系统优化等问题。</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Pr>
          <w:rFonts w:ascii="Times New Roman" w:hAnsi="Times New Roman" w:cs="Times New Roman"/>
          <w:b/>
          <w:bCs/>
          <w:color w:val="000000"/>
          <w:sz w:val="28"/>
          <w:szCs w:val="28"/>
        </w:rPr>
        <w:t>师资队伍</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）学科带头人</w:t>
      </w:r>
    </w:p>
    <w:p w:rsidR="003F622B" w:rsidRDefault="00392E9E">
      <w:pPr>
        <w:spacing w:line="520" w:lineRule="exact"/>
        <w:ind w:firstLineChars="200" w:firstLine="482"/>
        <w:rPr>
          <w:rFonts w:ascii="Times New Roman" w:hAnsi="Times New Roman" w:cs="Times New Roman"/>
          <w:sz w:val="24"/>
          <w:szCs w:val="24"/>
        </w:rPr>
      </w:pPr>
      <w:r>
        <w:rPr>
          <w:rFonts w:ascii="Times New Roman" w:hAnsi="Times New Roman" w:cs="Times New Roman"/>
          <w:b/>
          <w:bCs/>
          <w:sz w:val="24"/>
          <w:szCs w:val="24"/>
        </w:rPr>
        <w:t>管理科学与工程学科带头人是李常洪博士。李常洪是</w:t>
      </w:r>
      <w:r>
        <w:rPr>
          <w:rFonts w:ascii="Times New Roman" w:hAnsi="Times New Roman" w:cs="Times New Roman"/>
          <w:sz w:val="24"/>
          <w:szCs w:val="24"/>
        </w:rPr>
        <w:t>二级教授，博士生导师，</w:t>
      </w:r>
      <w:r>
        <w:rPr>
          <w:rFonts w:asciiTheme="minorEastAsia" w:hAnsiTheme="minorEastAsia" w:cs="Times New Roman"/>
          <w:sz w:val="24"/>
          <w:szCs w:val="24"/>
        </w:rPr>
        <w:t>“1331工程”智慧物流管理服务产业创新学科群负责人；</w:t>
      </w:r>
      <w:r>
        <w:rPr>
          <w:rFonts w:ascii="Times New Roman" w:hAnsi="Times New Roman" w:cs="Times New Roman"/>
          <w:sz w:val="24"/>
          <w:szCs w:val="24"/>
        </w:rPr>
        <w:t>现任山西大学经济与管理学院院长，兼任</w:t>
      </w:r>
      <w:r>
        <w:rPr>
          <w:rFonts w:ascii="Times New Roman" w:hAnsi="Times New Roman" w:cs="Times New Roman" w:hint="eastAsia"/>
          <w:sz w:val="24"/>
          <w:szCs w:val="24"/>
        </w:rPr>
        <w:t>中国优选法统筹法与经济数学研究会常务理事，中国管理科</w:t>
      </w:r>
      <w:r>
        <w:rPr>
          <w:rFonts w:ascii="Times New Roman" w:hAnsi="Times New Roman" w:cs="Times New Roman" w:hint="eastAsia"/>
          <w:sz w:val="24"/>
          <w:szCs w:val="24"/>
        </w:rPr>
        <w:lastRenderedPageBreak/>
        <w:t>学与工程学会常务理事，农工党山西省委经济工作委员会主任、山西省宏观经济学会副会长等职务，先后被评为</w:t>
      </w:r>
      <w:r>
        <w:rPr>
          <w:rFonts w:ascii="Times New Roman" w:hAnsi="Times New Roman" w:cs="Times New Roman"/>
          <w:sz w:val="24"/>
          <w:szCs w:val="24"/>
        </w:rPr>
        <w:t>山西省中青年拔尖创新人才，山西省教育厅党组联系的高级专家、山西省人大、省政协智库专家等。</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）方向带头人</w:t>
      </w:r>
    </w:p>
    <w:p w:rsidR="003F622B" w:rsidRDefault="00392E9E">
      <w:pPr>
        <w:spacing w:line="520" w:lineRule="exact"/>
        <w:ind w:firstLineChars="200" w:firstLine="482"/>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金融工程与风险管理</w:t>
      </w:r>
      <w:r>
        <w:rPr>
          <w:rFonts w:ascii="Times New Roman" w:hAnsi="Times New Roman" w:cs="Times New Roman"/>
          <w:b/>
          <w:sz w:val="24"/>
          <w:szCs w:val="24"/>
        </w:rPr>
        <w:t>”</w:t>
      </w:r>
      <w:r>
        <w:rPr>
          <w:rFonts w:ascii="Times New Roman" w:hAnsi="Times New Roman" w:cs="Times New Roman"/>
          <w:b/>
          <w:sz w:val="24"/>
          <w:szCs w:val="24"/>
        </w:rPr>
        <w:t>方向带头人</w:t>
      </w:r>
      <w:r>
        <w:rPr>
          <w:rFonts w:ascii="Times New Roman" w:hAnsi="Times New Roman" w:cs="Times New Roman" w:hint="eastAsia"/>
          <w:sz w:val="24"/>
          <w:szCs w:val="24"/>
        </w:rPr>
        <w:t>是</w:t>
      </w:r>
      <w:r>
        <w:rPr>
          <w:rFonts w:ascii="Times New Roman" w:hAnsi="Times New Roman" w:cs="Times New Roman"/>
          <w:sz w:val="24"/>
          <w:szCs w:val="24"/>
        </w:rPr>
        <w:t>张信东博士。张信东是二级教授，博士生导师，</w:t>
      </w:r>
      <w:r>
        <w:rPr>
          <w:rFonts w:ascii="Times New Roman" w:hAnsi="Times New Roman" w:cs="Times New Roman" w:hint="eastAsia"/>
          <w:sz w:val="24"/>
          <w:szCs w:val="24"/>
        </w:rPr>
        <w:t>教育部新世纪优秀人才支持计划入选者</w:t>
      </w:r>
      <w:r>
        <w:rPr>
          <w:rFonts w:ascii="Times New Roman" w:hAnsi="Times New Roman" w:cs="Times New Roman"/>
          <w:sz w:val="24"/>
          <w:szCs w:val="24"/>
        </w:rPr>
        <w:t>；山西省</w:t>
      </w:r>
      <w:r>
        <w:rPr>
          <w:rFonts w:ascii="Times New Roman" w:hAnsi="Times New Roman" w:cs="Times New Roman"/>
          <w:sz w:val="24"/>
          <w:szCs w:val="24"/>
        </w:rPr>
        <w:t>“1331</w:t>
      </w:r>
      <w:r>
        <w:rPr>
          <w:rFonts w:ascii="Times New Roman" w:hAnsi="Times New Roman" w:cs="Times New Roman"/>
          <w:sz w:val="24"/>
          <w:szCs w:val="24"/>
        </w:rPr>
        <w:t>工程</w:t>
      </w:r>
      <w:r>
        <w:rPr>
          <w:rFonts w:ascii="Times New Roman" w:hAnsi="Times New Roman" w:cs="Times New Roman"/>
          <w:sz w:val="24"/>
          <w:szCs w:val="24"/>
        </w:rPr>
        <w:t>”</w:t>
      </w:r>
      <w:r>
        <w:rPr>
          <w:rFonts w:asciiTheme="minorEastAsia" w:hAnsiTheme="minorEastAsia" w:cs="Times New Roman"/>
          <w:sz w:val="24"/>
          <w:szCs w:val="24"/>
        </w:rPr>
        <w:t>管理与决策创新团队</w:t>
      </w:r>
      <w:r>
        <w:rPr>
          <w:rFonts w:ascii="Times New Roman" w:hAnsi="Times New Roman" w:cs="Times New Roman"/>
          <w:sz w:val="24"/>
          <w:szCs w:val="24"/>
        </w:rPr>
        <w:t>负责人。</w:t>
      </w:r>
    </w:p>
    <w:p w:rsidR="003F622B" w:rsidRDefault="00392E9E">
      <w:pPr>
        <w:spacing w:line="520" w:lineRule="exact"/>
        <w:ind w:firstLineChars="200" w:firstLine="482"/>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组织生态与创新管理</w:t>
      </w:r>
      <w:r>
        <w:rPr>
          <w:rFonts w:ascii="Times New Roman" w:hAnsi="Times New Roman" w:cs="Times New Roman"/>
          <w:b/>
          <w:sz w:val="24"/>
          <w:szCs w:val="24"/>
        </w:rPr>
        <w:t>”</w:t>
      </w:r>
      <w:r>
        <w:rPr>
          <w:rFonts w:ascii="Times New Roman" w:hAnsi="Times New Roman" w:cs="Times New Roman"/>
          <w:b/>
          <w:sz w:val="24"/>
          <w:szCs w:val="24"/>
        </w:rPr>
        <w:t>方向带头人</w:t>
      </w:r>
      <w:r>
        <w:rPr>
          <w:rFonts w:ascii="Times New Roman" w:hAnsi="Times New Roman" w:cs="Times New Roman" w:hint="eastAsia"/>
          <w:sz w:val="24"/>
          <w:szCs w:val="24"/>
        </w:rPr>
        <w:t>是</w:t>
      </w:r>
      <w:r>
        <w:rPr>
          <w:rFonts w:ascii="Times New Roman" w:hAnsi="Times New Roman" w:cs="Times New Roman"/>
          <w:sz w:val="24"/>
          <w:szCs w:val="24"/>
        </w:rPr>
        <w:t>李常洪博士，已介绍。</w:t>
      </w:r>
    </w:p>
    <w:p w:rsidR="003F622B" w:rsidRDefault="00392E9E">
      <w:pPr>
        <w:spacing w:line="520" w:lineRule="exact"/>
        <w:ind w:firstLineChars="200" w:firstLine="482"/>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排队与运营管理</w:t>
      </w:r>
      <w:r>
        <w:rPr>
          <w:rFonts w:ascii="Times New Roman" w:hAnsi="Times New Roman" w:cs="Times New Roman"/>
          <w:b/>
          <w:sz w:val="24"/>
          <w:szCs w:val="24"/>
        </w:rPr>
        <w:t>”</w:t>
      </w:r>
      <w:r>
        <w:rPr>
          <w:rFonts w:ascii="Times New Roman" w:hAnsi="Times New Roman" w:cs="Times New Roman"/>
          <w:b/>
          <w:sz w:val="24"/>
          <w:szCs w:val="24"/>
        </w:rPr>
        <w:t>方向带头人</w:t>
      </w:r>
      <w:r>
        <w:rPr>
          <w:rFonts w:ascii="Times New Roman" w:hAnsi="Times New Roman" w:cs="Times New Roman" w:hint="eastAsia"/>
          <w:sz w:val="24"/>
          <w:szCs w:val="24"/>
        </w:rPr>
        <w:t>是</w:t>
      </w:r>
      <w:r>
        <w:rPr>
          <w:rFonts w:ascii="Times New Roman" w:hAnsi="Times New Roman" w:cs="Times New Roman"/>
          <w:sz w:val="24"/>
          <w:szCs w:val="24"/>
        </w:rPr>
        <w:t>刘维奇博士。刘维奇，教授，博士生导师，</w:t>
      </w:r>
      <w:r>
        <w:rPr>
          <w:rFonts w:ascii="Times New Roman" w:hAnsi="Times New Roman" w:cs="Times New Roman" w:hint="eastAsia"/>
          <w:sz w:val="24"/>
          <w:szCs w:val="24"/>
        </w:rPr>
        <w:t>中国优选法统筹法与经济数学研究会副理事长，</w:t>
      </w:r>
      <w:r>
        <w:rPr>
          <w:rFonts w:ascii="Times New Roman" w:hAnsi="Times New Roman" w:cs="Times New Roman"/>
          <w:sz w:val="24"/>
          <w:szCs w:val="24"/>
        </w:rPr>
        <w:t>享受国务院政府特殊津贴专家，中共山西省委联系的高级专家，山西省学术技术带头人。</w:t>
      </w:r>
    </w:p>
    <w:p w:rsidR="003F622B" w:rsidRDefault="00392E9E">
      <w:pPr>
        <w:spacing w:line="520" w:lineRule="exact"/>
        <w:ind w:firstLineChars="200" w:firstLine="482"/>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预测决策与评价</w:t>
      </w:r>
      <w:r>
        <w:rPr>
          <w:rFonts w:ascii="Times New Roman" w:hAnsi="Times New Roman" w:cs="Times New Roman"/>
          <w:b/>
          <w:sz w:val="24"/>
          <w:szCs w:val="24"/>
        </w:rPr>
        <w:t>”</w:t>
      </w:r>
      <w:r>
        <w:rPr>
          <w:rFonts w:ascii="Times New Roman" w:hAnsi="Times New Roman" w:cs="Times New Roman"/>
          <w:b/>
          <w:sz w:val="24"/>
          <w:szCs w:val="24"/>
        </w:rPr>
        <w:t>方向带头人</w:t>
      </w:r>
      <w:r>
        <w:rPr>
          <w:rFonts w:ascii="Times New Roman" w:hAnsi="Times New Roman" w:cs="Times New Roman" w:hint="eastAsia"/>
          <w:sz w:val="24"/>
          <w:szCs w:val="24"/>
        </w:rPr>
        <w:t>是</w:t>
      </w:r>
      <w:r>
        <w:rPr>
          <w:rFonts w:ascii="Times New Roman" w:hAnsi="Times New Roman" w:cs="Times New Roman"/>
          <w:sz w:val="24"/>
          <w:szCs w:val="24"/>
        </w:rPr>
        <w:t>范建平博士。范建平，教授，博士生导师，山西大学经济与管理学院副院长，分管研究生工作。</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）师资队伍简介</w:t>
      </w:r>
    </w:p>
    <w:p w:rsidR="003F622B" w:rsidRDefault="00392E9E">
      <w:pPr>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本授权点</w:t>
      </w:r>
      <w:r>
        <w:rPr>
          <w:rFonts w:ascii="Times New Roman" w:hAnsi="Times New Roman" w:cs="Times New Roman"/>
          <w:sz w:val="24"/>
          <w:szCs w:val="24"/>
        </w:rPr>
        <w:t>现有专任教师</w:t>
      </w:r>
      <w:r>
        <w:rPr>
          <w:rFonts w:ascii="Times New Roman" w:hAnsi="Times New Roman" w:cs="Times New Roman"/>
          <w:sz w:val="24"/>
          <w:szCs w:val="24"/>
        </w:rPr>
        <w:t>51</w:t>
      </w:r>
      <w:r>
        <w:rPr>
          <w:rFonts w:ascii="Times New Roman" w:hAnsi="Times New Roman" w:cs="Times New Roman"/>
          <w:sz w:val="24"/>
          <w:szCs w:val="24"/>
        </w:rPr>
        <w:t>人，其中教授</w:t>
      </w:r>
      <w:r>
        <w:rPr>
          <w:rFonts w:ascii="Times New Roman" w:hAnsi="Times New Roman" w:cs="Times New Roman"/>
          <w:sz w:val="24"/>
          <w:szCs w:val="24"/>
        </w:rPr>
        <w:t>12</w:t>
      </w:r>
      <w:r>
        <w:rPr>
          <w:rFonts w:ascii="Times New Roman" w:hAnsi="Times New Roman" w:cs="Times New Roman"/>
          <w:sz w:val="24"/>
          <w:szCs w:val="24"/>
        </w:rPr>
        <w:t>人，副教授</w:t>
      </w:r>
      <w:r>
        <w:rPr>
          <w:rFonts w:ascii="Times New Roman" w:hAnsi="Times New Roman" w:cs="Times New Roman"/>
          <w:sz w:val="24"/>
          <w:szCs w:val="24"/>
        </w:rPr>
        <w:t>35</w:t>
      </w:r>
      <w:r>
        <w:rPr>
          <w:rFonts w:ascii="Times New Roman" w:hAnsi="Times New Roman" w:cs="Times New Roman"/>
          <w:sz w:val="24"/>
          <w:szCs w:val="24"/>
        </w:rPr>
        <w:t>人。专任教师中</w:t>
      </w:r>
      <w:r>
        <w:rPr>
          <w:rFonts w:ascii="Times New Roman" w:hAnsi="Times New Roman" w:cs="Times New Roman"/>
          <w:sz w:val="24"/>
          <w:szCs w:val="24"/>
        </w:rPr>
        <w:t>45</w:t>
      </w:r>
      <w:r>
        <w:rPr>
          <w:rFonts w:ascii="Times New Roman" w:hAnsi="Times New Roman" w:cs="Times New Roman"/>
          <w:sz w:val="24"/>
          <w:szCs w:val="24"/>
        </w:rPr>
        <w:t>岁以下青年教师</w:t>
      </w:r>
      <w:r>
        <w:rPr>
          <w:rFonts w:ascii="Times New Roman" w:hAnsi="Times New Roman" w:cs="Times New Roman"/>
          <w:sz w:val="24"/>
          <w:szCs w:val="24"/>
        </w:rPr>
        <w:t>34</w:t>
      </w:r>
      <w:r>
        <w:rPr>
          <w:rFonts w:ascii="Times New Roman" w:hAnsi="Times New Roman" w:cs="Times New Roman"/>
          <w:sz w:val="24"/>
          <w:szCs w:val="24"/>
        </w:rPr>
        <w:t>人，占比</w:t>
      </w:r>
      <w:r>
        <w:rPr>
          <w:rFonts w:ascii="Times New Roman" w:hAnsi="Times New Roman" w:cs="Times New Roman"/>
          <w:sz w:val="24"/>
          <w:szCs w:val="24"/>
        </w:rPr>
        <w:t>67%</w:t>
      </w:r>
      <w:r>
        <w:rPr>
          <w:rFonts w:ascii="Times New Roman" w:hAnsi="Times New Roman" w:cs="Times New Roman"/>
          <w:sz w:val="24"/>
          <w:szCs w:val="24"/>
        </w:rPr>
        <w:t>；博士学位教师</w:t>
      </w:r>
      <w:r>
        <w:rPr>
          <w:rFonts w:ascii="Times New Roman" w:hAnsi="Times New Roman" w:cs="Times New Roman"/>
          <w:sz w:val="24"/>
          <w:szCs w:val="24"/>
        </w:rPr>
        <w:t>41</w:t>
      </w:r>
      <w:r>
        <w:rPr>
          <w:rFonts w:ascii="Times New Roman" w:hAnsi="Times New Roman" w:cs="Times New Roman"/>
          <w:sz w:val="24"/>
          <w:szCs w:val="24"/>
        </w:rPr>
        <w:t>人，占比</w:t>
      </w:r>
      <w:r>
        <w:rPr>
          <w:rFonts w:ascii="Times New Roman" w:hAnsi="Times New Roman" w:cs="Times New Roman"/>
          <w:sz w:val="24"/>
          <w:szCs w:val="24"/>
        </w:rPr>
        <w:t>80%</w:t>
      </w:r>
      <w:r>
        <w:rPr>
          <w:rFonts w:ascii="Times New Roman" w:hAnsi="Times New Roman" w:cs="Times New Roman"/>
          <w:sz w:val="24"/>
          <w:szCs w:val="24"/>
        </w:rPr>
        <w:t>；有海外经历教师</w:t>
      </w:r>
      <w:r>
        <w:rPr>
          <w:rFonts w:ascii="Times New Roman" w:hAnsi="Times New Roman" w:cs="Times New Roman"/>
          <w:sz w:val="24"/>
          <w:szCs w:val="24"/>
        </w:rPr>
        <w:t>24</w:t>
      </w:r>
      <w:r>
        <w:rPr>
          <w:rFonts w:ascii="Times New Roman" w:hAnsi="Times New Roman" w:cs="Times New Roman"/>
          <w:sz w:val="24"/>
          <w:szCs w:val="24"/>
        </w:rPr>
        <w:t>人，占比</w:t>
      </w:r>
      <w:r>
        <w:rPr>
          <w:rFonts w:ascii="Times New Roman" w:hAnsi="Times New Roman" w:cs="Times New Roman"/>
          <w:sz w:val="24"/>
          <w:szCs w:val="24"/>
        </w:rPr>
        <w:t>47%</w:t>
      </w:r>
      <w:r>
        <w:rPr>
          <w:rFonts w:ascii="Times New Roman" w:hAnsi="Times New Roman" w:cs="Times New Roman"/>
          <w:sz w:val="24"/>
          <w:szCs w:val="24"/>
        </w:rPr>
        <w:t>。</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bookmarkStart w:id="0" w:name="_Toc530587764"/>
      <w:r>
        <w:rPr>
          <w:rFonts w:ascii="Times New Roman" w:hAnsi="Times New Roman" w:cs="Times New Roman"/>
          <w:b/>
          <w:bCs/>
          <w:color w:val="000000"/>
          <w:sz w:val="28"/>
          <w:szCs w:val="28"/>
        </w:rPr>
        <w:t xml:space="preserve">3. </w:t>
      </w:r>
      <w:r>
        <w:rPr>
          <w:rFonts w:ascii="Times New Roman" w:hAnsi="Times New Roman" w:cs="Times New Roman"/>
          <w:b/>
          <w:bCs/>
          <w:color w:val="000000"/>
          <w:sz w:val="28"/>
          <w:szCs w:val="28"/>
        </w:rPr>
        <w:t>科学研究</w:t>
      </w:r>
      <w:bookmarkEnd w:id="0"/>
    </w:p>
    <w:p w:rsidR="003F622B" w:rsidRDefault="00392E9E">
      <w:pPr>
        <w:spacing w:line="520" w:lineRule="exact"/>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2020</w:t>
      </w:r>
      <w:r>
        <w:rPr>
          <w:rFonts w:ascii="Times New Roman" w:hAnsi="Times New Roman" w:cs="Times New Roman"/>
          <w:color w:val="000000"/>
          <w:sz w:val="24"/>
          <w:szCs w:val="24"/>
        </w:rPr>
        <w:t>年，</w:t>
      </w:r>
      <w:r>
        <w:rPr>
          <w:rFonts w:ascii="Times New Roman" w:hAnsi="Times New Roman" w:cs="Times New Roman" w:hint="eastAsia"/>
          <w:color w:val="000000"/>
          <w:sz w:val="24"/>
          <w:szCs w:val="24"/>
        </w:rPr>
        <w:t>本授权点</w:t>
      </w:r>
      <w:r>
        <w:rPr>
          <w:rFonts w:ascii="Times New Roman" w:hAnsi="Times New Roman" w:cs="Times New Roman"/>
          <w:color w:val="000000"/>
          <w:sz w:val="24"/>
          <w:szCs w:val="24"/>
        </w:rPr>
        <w:t>在</w:t>
      </w:r>
      <w:r>
        <w:rPr>
          <w:rFonts w:ascii="Times New Roman" w:hAnsi="Times New Roman" w:cs="Times New Roman"/>
          <w:bCs/>
          <w:color w:val="000000"/>
          <w:sz w:val="24"/>
          <w:szCs w:val="24"/>
        </w:rPr>
        <w:t>国内外重要</w:t>
      </w:r>
      <w:r>
        <w:rPr>
          <w:rFonts w:ascii="Times New Roman" w:hAnsi="Times New Roman" w:cs="Times New Roman"/>
          <w:bCs/>
          <w:sz w:val="24"/>
          <w:szCs w:val="24"/>
        </w:rPr>
        <w:t>学术期刊发表论文</w:t>
      </w:r>
      <w:r>
        <w:rPr>
          <w:rFonts w:ascii="Times New Roman" w:hAnsi="Times New Roman" w:cs="Times New Roman"/>
          <w:bCs/>
          <w:sz w:val="24"/>
          <w:szCs w:val="24"/>
        </w:rPr>
        <w:t>28</w:t>
      </w:r>
      <w:r>
        <w:rPr>
          <w:rFonts w:ascii="Times New Roman" w:hAnsi="Times New Roman" w:cs="Times New Roman"/>
          <w:bCs/>
          <w:sz w:val="24"/>
          <w:szCs w:val="24"/>
        </w:rPr>
        <w:t>篇</w:t>
      </w:r>
      <w:r>
        <w:rPr>
          <w:rFonts w:ascii="Times New Roman" w:hAnsi="Times New Roman" w:cs="Times New Roman"/>
          <w:sz w:val="24"/>
          <w:szCs w:val="24"/>
        </w:rPr>
        <w:t>，其中，</w:t>
      </w:r>
      <w:r>
        <w:rPr>
          <w:rFonts w:ascii="Times New Roman" w:hAnsi="Times New Roman" w:cs="Times New Roman"/>
          <w:sz w:val="24"/>
          <w:szCs w:val="24"/>
        </w:rPr>
        <w:t>SSCI</w:t>
      </w:r>
      <w:r>
        <w:rPr>
          <w:rFonts w:ascii="Times New Roman" w:hAnsi="Times New Roman" w:cs="Times New Roman"/>
          <w:sz w:val="24"/>
          <w:szCs w:val="24"/>
        </w:rPr>
        <w:t>论文</w:t>
      </w:r>
      <w:r>
        <w:rPr>
          <w:rFonts w:ascii="Times New Roman" w:hAnsi="Times New Roman" w:cs="Times New Roman"/>
          <w:sz w:val="24"/>
          <w:szCs w:val="24"/>
        </w:rPr>
        <w:t>2</w:t>
      </w:r>
      <w:r>
        <w:rPr>
          <w:rFonts w:ascii="Times New Roman" w:hAnsi="Times New Roman" w:cs="Times New Roman"/>
          <w:sz w:val="24"/>
          <w:szCs w:val="24"/>
        </w:rPr>
        <w:t>篇，</w:t>
      </w:r>
      <w:r>
        <w:rPr>
          <w:rFonts w:ascii="Times New Roman" w:hAnsi="Times New Roman" w:cs="Times New Roman"/>
          <w:sz w:val="24"/>
          <w:szCs w:val="24"/>
        </w:rPr>
        <w:t>SCI</w:t>
      </w:r>
      <w:r>
        <w:rPr>
          <w:rFonts w:ascii="Times New Roman" w:hAnsi="Times New Roman" w:cs="Times New Roman"/>
          <w:sz w:val="24"/>
          <w:szCs w:val="24"/>
        </w:rPr>
        <w:t>论文</w:t>
      </w:r>
      <w:r w:rsidR="0035011D" w:rsidRPr="00A30074">
        <w:rPr>
          <w:rFonts w:ascii="Times New Roman" w:hAnsi="Times New Roman" w:cs="Times New Roman" w:hint="eastAsia"/>
          <w:sz w:val="24"/>
          <w:szCs w:val="24"/>
        </w:rPr>
        <w:t>5</w:t>
      </w:r>
      <w:r>
        <w:rPr>
          <w:rFonts w:ascii="Times New Roman" w:hAnsi="Times New Roman" w:cs="Times New Roman"/>
          <w:sz w:val="24"/>
          <w:szCs w:val="24"/>
        </w:rPr>
        <w:t>篇，</w:t>
      </w:r>
      <w:r>
        <w:rPr>
          <w:rFonts w:ascii="Times New Roman" w:hAnsi="Times New Roman" w:cs="Times New Roman"/>
          <w:sz w:val="24"/>
          <w:szCs w:val="24"/>
        </w:rPr>
        <w:t>CSSCI</w:t>
      </w:r>
      <w:r>
        <w:rPr>
          <w:rFonts w:ascii="Times New Roman" w:hAnsi="Times New Roman" w:cs="Times New Roman"/>
          <w:sz w:val="24"/>
          <w:szCs w:val="24"/>
        </w:rPr>
        <w:t>论文</w:t>
      </w:r>
      <w:r>
        <w:rPr>
          <w:rFonts w:ascii="Times New Roman" w:hAnsi="Times New Roman" w:cs="Times New Roman"/>
          <w:sz w:val="24"/>
          <w:szCs w:val="24"/>
        </w:rPr>
        <w:t>13</w:t>
      </w:r>
      <w:r>
        <w:rPr>
          <w:rFonts w:ascii="Times New Roman" w:hAnsi="Times New Roman" w:cs="Times New Roman"/>
          <w:sz w:val="24"/>
          <w:szCs w:val="24"/>
        </w:rPr>
        <w:t>篇；</w:t>
      </w:r>
      <w:r>
        <w:rPr>
          <w:rFonts w:ascii="Times New Roman" w:hAnsi="Times New Roman" w:cs="Times New Roman"/>
          <w:color w:val="000000"/>
          <w:sz w:val="24"/>
          <w:szCs w:val="24"/>
        </w:rPr>
        <w:t>承担各类项目课题的</w:t>
      </w:r>
      <w:r>
        <w:rPr>
          <w:rFonts w:ascii="Times New Roman" w:hAnsi="Times New Roman" w:cs="Times New Roman"/>
          <w:bCs/>
          <w:color w:val="000000"/>
          <w:sz w:val="24"/>
          <w:szCs w:val="24"/>
        </w:rPr>
        <w:t>经费总额为</w:t>
      </w:r>
      <w:r>
        <w:rPr>
          <w:rFonts w:ascii="Times New Roman" w:hAnsi="Times New Roman" w:cs="Times New Roman"/>
          <w:bCs/>
          <w:sz w:val="24"/>
          <w:szCs w:val="24"/>
        </w:rPr>
        <w:t>118</w:t>
      </w:r>
      <w:r>
        <w:rPr>
          <w:rFonts w:ascii="Times New Roman" w:hAnsi="Times New Roman" w:cs="Times New Roman"/>
          <w:bCs/>
          <w:color w:val="000000"/>
          <w:sz w:val="24"/>
          <w:szCs w:val="24"/>
        </w:rPr>
        <w:t>万元</w:t>
      </w:r>
      <w:r>
        <w:rPr>
          <w:rFonts w:ascii="Times New Roman" w:hAnsi="Times New Roman" w:cs="Times New Roman"/>
          <w:color w:val="000000"/>
          <w:sz w:val="24"/>
          <w:szCs w:val="24"/>
        </w:rPr>
        <w:t>，其中</w:t>
      </w:r>
      <w:r>
        <w:rPr>
          <w:rFonts w:ascii="Times New Roman" w:hAnsi="Times New Roman" w:cs="Times New Roman"/>
          <w:bCs/>
          <w:color w:val="000000"/>
          <w:sz w:val="24"/>
          <w:szCs w:val="24"/>
        </w:rPr>
        <w:t>国家自然科学基金面上项目</w:t>
      </w:r>
      <w:r>
        <w:rPr>
          <w:rFonts w:ascii="Times New Roman" w:hAnsi="Times New Roman" w:cs="Times New Roman"/>
          <w:bCs/>
          <w:color w:val="000000"/>
          <w:sz w:val="24"/>
          <w:szCs w:val="24"/>
        </w:rPr>
        <w:t>1</w:t>
      </w:r>
      <w:r>
        <w:rPr>
          <w:rFonts w:ascii="Times New Roman" w:hAnsi="Times New Roman" w:cs="Times New Roman"/>
          <w:bCs/>
          <w:color w:val="000000"/>
          <w:sz w:val="24"/>
          <w:szCs w:val="24"/>
        </w:rPr>
        <w:t>项</w:t>
      </w:r>
      <w:r>
        <w:rPr>
          <w:rFonts w:ascii="Times New Roman" w:hAnsi="Times New Roman" w:cs="Times New Roman"/>
          <w:color w:val="000000"/>
          <w:sz w:val="24"/>
          <w:szCs w:val="24"/>
        </w:rPr>
        <w:t>，经费</w:t>
      </w:r>
      <w:r>
        <w:rPr>
          <w:rFonts w:ascii="Times New Roman" w:hAnsi="Times New Roman" w:cs="Times New Roman"/>
          <w:color w:val="000000"/>
          <w:sz w:val="24"/>
          <w:szCs w:val="24"/>
        </w:rPr>
        <w:t>49</w:t>
      </w:r>
      <w:r>
        <w:rPr>
          <w:rFonts w:ascii="Times New Roman" w:hAnsi="Times New Roman" w:cs="Times New Roman"/>
          <w:color w:val="000000"/>
          <w:sz w:val="24"/>
          <w:szCs w:val="24"/>
        </w:rPr>
        <w:t>万元；</w:t>
      </w:r>
      <w:r>
        <w:rPr>
          <w:rFonts w:ascii="Times New Roman" w:hAnsi="Times New Roman" w:cs="Times New Roman"/>
          <w:bCs/>
          <w:color w:val="000000"/>
          <w:sz w:val="24"/>
          <w:szCs w:val="24"/>
        </w:rPr>
        <w:t>国家发改委重大项目</w:t>
      </w:r>
      <w:r>
        <w:rPr>
          <w:rFonts w:ascii="Times New Roman" w:hAnsi="Times New Roman" w:cs="Times New Roman"/>
          <w:bCs/>
          <w:color w:val="000000"/>
          <w:sz w:val="24"/>
          <w:szCs w:val="24"/>
        </w:rPr>
        <w:t>1</w:t>
      </w:r>
      <w:r>
        <w:rPr>
          <w:rFonts w:ascii="Times New Roman" w:hAnsi="Times New Roman" w:cs="Times New Roman"/>
          <w:bCs/>
          <w:color w:val="000000"/>
          <w:sz w:val="24"/>
          <w:szCs w:val="24"/>
        </w:rPr>
        <w:t>项</w:t>
      </w:r>
      <w:r>
        <w:rPr>
          <w:rFonts w:ascii="Times New Roman" w:hAnsi="Times New Roman" w:cs="Times New Roman"/>
          <w:color w:val="000000"/>
          <w:sz w:val="24"/>
          <w:szCs w:val="24"/>
        </w:rPr>
        <w:t>，经费</w:t>
      </w:r>
      <w:r>
        <w:rPr>
          <w:rFonts w:ascii="Times New Roman" w:hAnsi="Times New Roman" w:cs="Times New Roman"/>
          <w:color w:val="000000"/>
          <w:sz w:val="24"/>
          <w:szCs w:val="24"/>
        </w:rPr>
        <w:t>10</w:t>
      </w:r>
      <w:r>
        <w:rPr>
          <w:rFonts w:ascii="Times New Roman" w:hAnsi="Times New Roman" w:cs="Times New Roman"/>
          <w:color w:val="000000"/>
          <w:sz w:val="24"/>
          <w:szCs w:val="24"/>
        </w:rPr>
        <w:t>万元；山西省古县</w:t>
      </w:r>
      <w:r w:rsidR="00AE579B">
        <w:rPr>
          <w:rFonts w:ascii="Times New Roman" w:hAnsi="Times New Roman" w:cs="Times New Roman" w:hint="eastAsia"/>
          <w:color w:val="000000"/>
          <w:sz w:val="24"/>
          <w:szCs w:val="24"/>
        </w:rPr>
        <w:t>“</w:t>
      </w:r>
      <w:r w:rsidR="00AE579B">
        <w:rPr>
          <w:rFonts w:ascii="Times New Roman" w:hAnsi="Times New Roman" w:cs="Times New Roman"/>
          <w:color w:val="000000"/>
          <w:sz w:val="24"/>
          <w:szCs w:val="24"/>
        </w:rPr>
        <w:t>十四五</w:t>
      </w:r>
      <w:r w:rsidR="00AE579B">
        <w:rPr>
          <w:rFonts w:ascii="Times New Roman" w:hAnsi="Times New Roman" w:cs="Times New Roman" w:hint="eastAsia"/>
          <w:color w:val="000000"/>
          <w:sz w:val="24"/>
          <w:szCs w:val="24"/>
        </w:rPr>
        <w:t>”</w:t>
      </w:r>
      <w:r>
        <w:rPr>
          <w:rFonts w:ascii="Times New Roman" w:hAnsi="Times New Roman" w:cs="Times New Roman"/>
          <w:color w:val="000000"/>
          <w:sz w:val="24"/>
          <w:szCs w:val="24"/>
        </w:rPr>
        <w:t>规划编制项目，吕梁市人力资源和教育发展</w:t>
      </w:r>
      <w:r w:rsidR="00AE579B">
        <w:rPr>
          <w:rFonts w:ascii="Times New Roman" w:hAnsi="Times New Roman" w:cs="Times New Roman" w:hint="eastAsia"/>
          <w:color w:val="000000"/>
          <w:sz w:val="24"/>
          <w:szCs w:val="24"/>
        </w:rPr>
        <w:t>“</w:t>
      </w:r>
      <w:r w:rsidR="00AE579B">
        <w:rPr>
          <w:rFonts w:ascii="Times New Roman" w:hAnsi="Times New Roman" w:cs="Times New Roman"/>
          <w:color w:val="000000"/>
          <w:sz w:val="24"/>
          <w:szCs w:val="24"/>
        </w:rPr>
        <w:t>十四五</w:t>
      </w:r>
      <w:r w:rsidR="00AE579B">
        <w:rPr>
          <w:rFonts w:ascii="Times New Roman" w:hAnsi="Times New Roman" w:cs="Times New Roman" w:hint="eastAsia"/>
          <w:color w:val="000000"/>
          <w:sz w:val="24"/>
          <w:szCs w:val="24"/>
        </w:rPr>
        <w:t>”</w:t>
      </w:r>
      <w:r>
        <w:rPr>
          <w:rFonts w:ascii="Times New Roman" w:hAnsi="Times New Roman" w:cs="Times New Roman"/>
          <w:color w:val="000000"/>
          <w:sz w:val="24"/>
          <w:szCs w:val="24"/>
        </w:rPr>
        <w:t>专项规划</w:t>
      </w:r>
      <w:r w:rsidR="0035011D">
        <w:rPr>
          <w:rFonts w:ascii="Times New Roman" w:hAnsi="Times New Roman" w:cs="Times New Roman" w:hint="eastAsia"/>
          <w:color w:val="000000"/>
          <w:sz w:val="24"/>
          <w:szCs w:val="24"/>
        </w:rPr>
        <w:t>，</w:t>
      </w:r>
      <w:r>
        <w:rPr>
          <w:rFonts w:ascii="Times New Roman" w:hAnsi="Times New Roman" w:cs="Times New Roman"/>
          <w:color w:val="000000"/>
          <w:sz w:val="24"/>
          <w:szCs w:val="24"/>
        </w:rPr>
        <w:t>出版专著</w:t>
      </w:r>
      <w:r>
        <w:rPr>
          <w:rFonts w:ascii="Times New Roman" w:hAnsi="Times New Roman" w:cs="Times New Roman"/>
          <w:sz w:val="24"/>
          <w:szCs w:val="24"/>
        </w:rPr>
        <w:t>1</w:t>
      </w:r>
      <w:r>
        <w:rPr>
          <w:rFonts w:ascii="Times New Roman" w:hAnsi="Times New Roman" w:cs="Times New Roman"/>
          <w:color w:val="000000"/>
          <w:sz w:val="24"/>
          <w:szCs w:val="24"/>
        </w:rPr>
        <w:t>部，获省部级奖项</w:t>
      </w:r>
      <w:r>
        <w:rPr>
          <w:rFonts w:ascii="Times New Roman" w:hAnsi="Times New Roman" w:cs="Times New Roman"/>
          <w:color w:val="000000"/>
          <w:sz w:val="24"/>
          <w:szCs w:val="24"/>
        </w:rPr>
        <w:t>4</w:t>
      </w:r>
      <w:r>
        <w:rPr>
          <w:rFonts w:ascii="Times New Roman" w:hAnsi="Times New Roman" w:cs="Times New Roman"/>
          <w:color w:val="000000"/>
          <w:sz w:val="24"/>
          <w:szCs w:val="24"/>
        </w:rPr>
        <w:t>项。</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bookmarkStart w:id="1" w:name="_Toc530587765"/>
      <w:r>
        <w:rPr>
          <w:rFonts w:ascii="Times New Roman" w:hAnsi="Times New Roman" w:cs="Times New Roman"/>
          <w:b/>
          <w:bCs/>
          <w:color w:val="000000"/>
          <w:sz w:val="28"/>
          <w:szCs w:val="28"/>
        </w:rPr>
        <w:t xml:space="preserve">4. </w:t>
      </w:r>
      <w:r>
        <w:rPr>
          <w:rFonts w:ascii="Times New Roman" w:hAnsi="Times New Roman" w:cs="Times New Roman"/>
          <w:b/>
          <w:bCs/>
          <w:color w:val="000000"/>
          <w:sz w:val="28"/>
          <w:szCs w:val="28"/>
        </w:rPr>
        <w:t>教学科研支撑</w:t>
      </w:r>
      <w:bookmarkEnd w:id="1"/>
    </w:p>
    <w:p w:rsidR="003F622B" w:rsidRDefault="00392E9E">
      <w:pPr>
        <w:spacing w:line="520" w:lineRule="exact"/>
        <w:ind w:firstLineChars="200" w:firstLine="480"/>
        <w:rPr>
          <w:rFonts w:ascii="Times New Roman" w:hAnsi="Times New Roman" w:cs="Times New Roman"/>
          <w:color w:val="000000"/>
          <w:sz w:val="24"/>
          <w:szCs w:val="24"/>
        </w:rPr>
      </w:pPr>
      <w:r>
        <w:rPr>
          <w:rFonts w:ascii="Times New Roman" w:hAnsi="Times New Roman" w:cs="Times New Roman" w:hint="eastAsia"/>
          <w:color w:val="000000"/>
          <w:sz w:val="24"/>
          <w:szCs w:val="24"/>
        </w:rPr>
        <w:t>本授权点</w:t>
      </w:r>
      <w:r>
        <w:rPr>
          <w:rFonts w:ascii="Times New Roman" w:hAnsi="Times New Roman" w:cs="Times New Roman"/>
          <w:color w:val="000000"/>
          <w:sz w:val="24"/>
          <w:szCs w:val="24"/>
        </w:rPr>
        <w:t>各类教学科研支撑平台、实验室、数据库等见表</w:t>
      </w:r>
      <w:r>
        <w:rPr>
          <w:rFonts w:ascii="Times New Roman" w:hAnsi="Times New Roman" w:cs="Times New Roman"/>
          <w:color w:val="000000"/>
          <w:sz w:val="24"/>
          <w:szCs w:val="24"/>
        </w:rPr>
        <w:t>1</w:t>
      </w:r>
      <w:r>
        <w:rPr>
          <w:rFonts w:ascii="Times New Roman" w:hAnsi="Times New Roman" w:cs="Times New Roman"/>
          <w:color w:val="000000"/>
          <w:sz w:val="24"/>
          <w:szCs w:val="24"/>
        </w:rPr>
        <w:t>。</w:t>
      </w:r>
    </w:p>
    <w:p w:rsidR="003F622B" w:rsidRDefault="003F622B">
      <w:pPr>
        <w:spacing w:line="520" w:lineRule="exact"/>
        <w:ind w:leftChars="200" w:left="420"/>
        <w:jc w:val="center"/>
        <w:rPr>
          <w:rFonts w:ascii="Times New Roman" w:hAnsi="Times New Roman" w:cs="Times New Roman"/>
          <w:color w:val="000000"/>
          <w:szCs w:val="21"/>
        </w:rPr>
      </w:pPr>
    </w:p>
    <w:p w:rsidR="003F622B" w:rsidRDefault="003F622B">
      <w:pPr>
        <w:spacing w:line="520" w:lineRule="exact"/>
        <w:ind w:leftChars="200" w:left="420"/>
        <w:jc w:val="center"/>
        <w:rPr>
          <w:rFonts w:ascii="Times New Roman" w:hAnsi="Times New Roman" w:cs="Times New Roman"/>
          <w:color w:val="000000"/>
          <w:szCs w:val="21"/>
        </w:rPr>
      </w:pPr>
    </w:p>
    <w:p w:rsidR="003F622B" w:rsidRDefault="00392E9E">
      <w:pPr>
        <w:spacing w:line="520" w:lineRule="exact"/>
        <w:ind w:leftChars="200" w:left="420"/>
        <w:jc w:val="center"/>
        <w:rPr>
          <w:rFonts w:ascii="Times New Roman" w:hAnsi="Times New Roman" w:cs="Times New Roman"/>
          <w:color w:val="000000"/>
          <w:szCs w:val="21"/>
        </w:rPr>
      </w:pPr>
      <w:r>
        <w:rPr>
          <w:rFonts w:ascii="Times New Roman" w:hAnsi="Times New Roman" w:cs="Times New Roman"/>
          <w:color w:val="000000"/>
          <w:szCs w:val="21"/>
        </w:rPr>
        <w:t>表</w:t>
      </w:r>
      <w:r>
        <w:rPr>
          <w:rFonts w:ascii="Times New Roman" w:hAnsi="Times New Roman" w:cs="Times New Roman"/>
          <w:color w:val="000000"/>
          <w:szCs w:val="21"/>
        </w:rPr>
        <w:t xml:space="preserve">1  </w:t>
      </w:r>
      <w:r>
        <w:rPr>
          <w:rFonts w:ascii="Times New Roman" w:hAnsi="Times New Roman" w:cs="Times New Roman"/>
          <w:color w:val="000000"/>
          <w:szCs w:val="21"/>
        </w:rPr>
        <w:t>管理科学与工程学位点教学科研支撑</w:t>
      </w:r>
    </w:p>
    <w:tbl>
      <w:tblPr>
        <w:tblW w:w="5000" w:type="pct"/>
        <w:tblCellMar>
          <w:top w:w="15" w:type="dxa"/>
          <w:left w:w="15" w:type="dxa"/>
          <w:bottom w:w="15" w:type="dxa"/>
          <w:right w:w="15" w:type="dxa"/>
        </w:tblCellMar>
        <w:tblLook w:val="04A0"/>
      </w:tblPr>
      <w:tblGrid>
        <w:gridCol w:w="1542"/>
        <w:gridCol w:w="6794"/>
      </w:tblGrid>
      <w:tr w:rsidR="003F622B">
        <w:trPr>
          <w:trHeight w:val="450"/>
        </w:trPr>
        <w:tc>
          <w:tcPr>
            <w:tcW w:w="925" w:type="pct"/>
            <w:tcBorders>
              <w:top w:val="single" w:sz="4" w:space="0" w:color="000000"/>
              <w:left w:val="single" w:sz="4" w:space="0" w:color="000000"/>
              <w:bottom w:val="single" w:sz="4" w:space="0" w:color="000000"/>
              <w:right w:val="single" w:sz="4" w:space="0" w:color="000000"/>
            </w:tcBorders>
            <w:vAlign w:val="center"/>
          </w:tcPr>
          <w:p w:rsidR="003F622B" w:rsidRDefault="003F622B">
            <w:pPr>
              <w:widowControl/>
              <w:jc w:val="center"/>
              <w:textAlignment w:val="center"/>
              <w:rPr>
                <w:rFonts w:ascii="Times New Roman" w:hAnsi="Times New Roman" w:cs="Times New Roman"/>
                <w:b/>
                <w:color w:val="000000"/>
                <w:szCs w:val="21"/>
              </w:rPr>
            </w:pPr>
          </w:p>
        </w:tc>
        <w:tc>
          <w:tcPr>
            <w:tcW w:w="4075" w:type="pct"/>
            <w:tcBorders>
              <w:top w:val="single" w:sz="4" w:space="0" w:color="000000"/>
              <w:left w:val="single" w:sz="4" w:space="0" w:color="000000"/>
              <w:bottom w:val="single" w:sz="4" w:space="0" w:color="000000"/>
              <w:right w:val="single" w:sz="4" w:space="0" w:color="000000"/>
            </w:tcBorders>
            <w:vAlign w:val="center"/>
          </w:tcPr>
          <w:p w:rsidR="003F622B" w:rsidRDefault="00392E9E">
            <w:pPr>
              <w:widowControl/>
              <w:jc w:val="center"/>
              <w:textAlignment w:val="center"/>
              <w:rPr>
                <w:rFonts w:ascii="Times New Roman" w:hAnsi="Times New Roman" w:cs="Times New Roman"/>
                <w:szCs w:val="21"/>
              </w:rPr>
            </w:pPr>
            <w:r>
              <w:rPr>
                <w:rFonts w:ascii="Times New Roman" w:hAnsi="Times New Roman" w:cs="Times New Roman"/>
                <w:szCs w:val="21"/>
              </w:rPr>
              <w:t>名称</w:t>
            </w:r>
          </w:p>
        </w:tc>
      </w:tr>
      <w:tr w:rsidR="003F622B">
        <w:trPr>
          <w:trHeight w:val="1818"/>
        </w:trPr>
        <w:tc>
          <w:tcPr>
            <w:tcW w:w="925" w:type="pct"/>
            <w:tcBorders>
              <w:top w:val="single" w:sz="4" w:space="0" w:color="000000"/>
              <w:left w:val="single" w:sz="4" w:space="0" w:color="000000"/>
              <w:right w:val="single" w:sz="4" w:space="0" w:color="000000"/>
            </w:tcBorders>
            <w:vAlign w:val="center"/>
          </w:tcPr>
          <w:p w:rsidR="003F622B" w:rsidRDefault="00392E9E">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平台</w:t>
            </w:r>
          </w:p>
        </w:tc>
        <w:tc>
          <w:tcPr>
            <w:tcW w:w="4075" w:type="pct"/>
            <w:tcBorders>
              <w:top w:val="single" w:sz="4" w:space="0" w:color="000000"/>
              <w:left w:val="single" w:sz="4" w:space="0" w:color="000000"/>
              <w:right w:val="single" w:sz="4" w:space="0" w:color="000000"/>
            </w:tcBorders>
            <w:vAlign w:val="center"/>
          </w:tcPr>
          <w:p w:rsidR="003F622B" w:rsidRDefault="00392E9E">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山西省高校人文社科重点研究基地</w:t>
            </w:r>
            <w:r>
              <w:rPr>
                <w:rFonts w:ascii="Times New Roman" w:hAnsi="Times New Roman" w:cs="Times New Roman"/>
                <w:color w:val="000000"/>
                <w:szCs w:val="21"/>
              </w:rPr>
              <w:t>——</w:t>
            </w:r>
            <w:r>
              <w:rPr>
                <w:rFonts w:ascii="Times New Roman" w:hAnsi="Times New Roman" w:cs="Times New Roman"/>
                <w:szCs w:val="21"/>
              </w:rPr>
              <w:t>山西大学管理与决策研究中心</w:t>
            </w:r>
          </w:p>
          <w:p w:rsidR="003F622B" w:rsidRDefault="00392E9E">
            <w:pPr>
              <w:widowControl/>
              <w:jc w:val="left"/>
              <w:textAlignment w:val="center"/>
              <w:rPr>
                <w:rFonts w:ascii="Times New Roman" w:hAnsi="Times New Roman" w:cs="Times New Roman"/>
                <w:color w:val="000000"/>
                <w:szCs w:val="21"/>
              </w:rPr>
            </w:pPr>
            <w:r>
              <w:rPr>
                <w:rFonts w:ascii="Times New Roman" w:hAnsi="Times New Roman" w:cs="Times New Roman"/>
                <w:color w:val="000000"/>
                <w:szCs w:val="21"/>
              </w:rPr>
              <w:t>中国智库索引</w:t>
            </w:r>
            <w:r>
              <w:rPr>
                <w:rFonts w:ascii="Times New Roman" w:hAnsi="Times New Roman" w:cs="Times New Roman"/>
                <w:color w:val="000000"/>
                <w:szCs w:val="21"/>
              </w:rPr>
              <w:t>CTTI</w:t>
            </w:r>
            <w:r>
              <w:rPr>
                <w:rFonts w:ascii="Times New Roman" w:hAnsi="Times New Roman" w:cs="Times New Roman"/>
                <w:color w:val="000000"/>
                <w:szCs w:val="21"/>
              </w:rPr>
              <w:t>首批来源智库</w:t>
            </w:r>
            <w:r>
              <w:rPr>
                <w:rFonts w:ascii="Times New Roman" w:hAnsi="Times New Roman" w:cs="Times New Roman"/>
                <w:color w:val="000000"/>
                <w:szCs w:val="21"/>
              </w:rPr>
              <w:t>——</w:t>
            </w:r>
            <w:r>
              <w:rPr>
                <w:rFonts w:ascii="Times New Roman" w:hAnsi="Times New Roman" w:cs="Times New Roman"/>
                <w:color w:val="000000"/>
                <w:szCs w:val="21"/>
              </w:rPr>
              <w:t>山西大学管理与决策研究所</w:t>
            </w:r>
          </w:p>
          <w:p w:rsidR="003F622B" w:rsidRDefault="00392E9E">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山西省</w:t>
            </w:r>
            <w:r>
              <w:rPr>
                <w:rFonts w:ascii="Times New Roman" w:hAnsi="Times New Roman" w:cs="Times New Roman"/>
                <w:color w:val="000000"/>
                <w:szCs w:val="21"/>
              </w:rPr>
              <w:t>“1331”</w:t>
            </w:r>
            <w:r>
              <w:rPr>
                <w:rFonts w:ascii="Times New Roman" w:hAnsi="Times New Roman" w:cs="Times New Roman"/>
                <w:color w:val="000000"/>
                <w:szCs w:val="21"/>
              </w:rPr>
              <w:t>工程重点创新团队</w:t>
            </w:r>
            <w:r>
              <w:rPr>
                <w:rFonts w:ascii="Times New Roman" w:hAnsi="Times New Roman" w:cs="Times New Roman"/>
                <w:color w:val="000000"/>
                <w:szCs w:val="21"/>
              </w:rPr>
              <w:t>——</w:t>
            </w:r>
            <w:r>
              <w:rPr>
                <w:rFonts w:ascii="Times New Roman" w:hAnsi="Times New Roman" w:cs="Times New Roman"/>
                <w:szCs w:val="21"/>
              </w:rPr>
              <w:t>山西大学管理与决策创新团队</w:t>
            </w:r>
          </w:p>
          <w:p w:rsidR="003F622B" w:rsidRDefault="00392E9E">
            <w:pPr>
              <w:widowControl/>
              <w:jc w:val="left"/>
              <w:textAlignment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1331</w:t>
            </w:r>
            <w:r>
              <w:rPr>
                <w:rFonts w:ascii="Times New Roman" w:hAnsi="Times New Roman" w:cs="Times New Roman" w:hint="eastAsia"/>
                <w:szCs w:val="21"/>
              </w:rPr>
              <w:t>工程”智慧物流管理服务产业创新学科群</w:t>
            </w:r>
          </w:p>
          <w:p w:rsidR="003F622B" w:rsidRDefault="00392E9E">
            <w:pPr>
              <w:widowControl/>
              <w:jc w:val="left"/>
              <w:textAlignment w:val="center"/>
              <w:rPr>
                <w:rFonts w:ascii="Times New Roman" w:hAnsi="Times New Roman" w:cs="Times New Roman"/>
                <w:color w:val="000000"/>
                <w:szCs w:val="21"/>
              </w:rPr>
            </w:pPr>
            <w:r>
              <w:rPr>
                <w:rFonts w:ascii="Times New Roman" w:hAnsi="Times New Roman" w:cs="Times New Roman"/>
                <w:color w:val="000000"/>
                <w:szCs w:val="21"/>
              </w:rPr>
              <w:t>山西大学管理科学与工程博士后流动站</w:t>
            </w:r>
          </w:p>
          <w:p w:rsidR="003F622B" w:rsidRDefault="00392E9E">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山西大学资源型经济转型发展研究平台</w:t>
            </w:r>
          </w:p>
        </w:tc>
      </w:tr>
      <w:tr w:rsidR="003F622B">
        <w:trPr>
          <w:trHeight w:val="519"/>
        </w:trPr>
        <w:tc>
          <w:tcPr>
            <w:tcW w:w="925" w:type="pct"/>
            <w:tcBorders>
              <w:top w:val="single" w:sz="4" w:space="0" w:color="000000"/>
              <w:left w:val="single" w:sz="4" w:space="0" w:color="000000"/>
              <w:right w:val="single" w:sz="4" w:space="0" w:color="000000"/>
            </w:tcBorders>
            <w:vAlign w:val="center"/>
          </w:tcPr>
          <w:p w:rsidR="003F622B" w:rsidRDefault="00392E9E">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实验室</w:t>
            </w:r>
          </w:p>
        </w:tc>
        <w:tc>
          <w:tcPr>
            <w:tcW w:w="4075" w:type="pct"/>
            <w:tcBorders>
              <w:top w:val="single" w:sz="4" w:space="0" w:color="000000"/>
              <w:left w:val="single" w:sz="4" w:space="0" w:color="000000"/>
              <w:right w:val="single" w:sz="4" w:space="0" w:color="000000"/>
            </w:tcBorders>
            <w:vAlign w:val="center"/>
          </w:tcPr>
          <w:p w:rsidR="003F622B" w:rsidRDefault="00392E9E">
            <w:pPr>
              <w:widowControl/>
              <w:jc w:val="left"/>
              <w:textAlignment w:val="center"/>
              <w:rPr>
                <w:rFonts w:ascii="Times New Roman" w:hAnsi="Times New Roman" w:cs="Times New Roman"/>
                <w:szCs w:val="21"/>
              </w:rPr>
            </w:pPr>
            <w:r>
              <w:rPr>
                <w:rFonts w:ascii="Times New Roman" w:hAnsi="Times New Roman" w:cs="Times New Roman"/>
                <w:szCs w:val="21"/>
              </w:rPr>
              <w:t>金融工程实验室；智慧物流实验室；</w:t>
            </w:r>
          </w:p>
        </w:tc>
      </w:tr>
      <w:tr w:rsidR="003F622B">
        <w:trPr>
          <w:trHeight w:val="486"/>
        </w:trPr>
        <w:tc>
          <w:tcPr>
            <w:tcW w:w="925" w:type="pct"/>
            <w:tcBorders>
              <w:top w:val="single" w:sz="4" w:space="0" w:color="000000"/>
              <w:left w:val="single" w:sz="4" w:space="0" w:color="000000"/>
              <w:bottom w:val="single" w:sz="4" w:space="0" w:color="000000"/>
              <w:right w:val="single" w:sz="4" w:space="0" w:color="000000"/>
            </w:tcBorders>
            <w:vAlign w:val="center"/>
          </w:tcPr>
          <w:p w:rsidR="003F622B" w:rsidRDefault="00392E9E">
            <w:pPr>
              <w:jc w:val="center"/>
              <w:rPr>
                <w:rFonts w:ascii="Times New Roman" w:hAnsi="Times New Roman" w:cs="Times New Roman"/>
                <w:color w:val="000000"/>
                <w:szCs w:val="21"/>
              </w:rPr>
            </w:pPr>
            <w:r>
              <w:rPr>
                <w:rFonts w:ascii="Times New Roman" w:hAnsi="Times New Roman" w:cs="Times New Roman"/>
                <w:color w:val="000000"/>
                <w:szCs w:val="21"/>
              </w:rPr>
              <w:t>数据库</w:t>
            </w:r>
          </w:p>
        </w:tc>
        <w:tc>
          <w:tcPr>
            <w:tcW w:w="4075" w:type="pct"/>
            <w:tcBorders>
              <w:top w:val="single" w:sz="4" w:space="0" w:color="000000"/>
              <w:left w:val="single" w:sz="4" w:space="0" w:color="000000"/>
              <w:bottom w:val="single" w:sz="4" w:space="0" w:color="000000"/>
              <w:right w:val="single" w:sz="4" w:space="0" w:color="000000"/>
            </w:tcBorders>
            <w:vAlign w:val="center"/>
          </w:tcPr>
          <w:p w:rsidR="003F622B" w:rsidRDefault="00392E9E">
            <w:pPr>
              <w:jc w:val="left"/>
              <w:rPr>
                <w:rFonts w:ascii="Times New Roman" w:hAnsi="Times New Roman" w:cs="Times New Roman"/>
                <w:szCs w:val="21"/>
              </w:rPr>
            </w:pPr>
            <w:r>
              <w:rPr>
                <w:rFonts w:ascii="Times New Roman" w:hAnsi="Times New Roman" w:cs="Times New Roman"/>
                <w:szCs w:val="21"/>
              </w:rPr>
              <w:t>CSMAR</w:t>
            </w:r>
            <w:r>
              <w:rPr>
                <w:rFonts w:ascii="Times New Roman" w:hAnsi="Times New Roman" w:cs="Times New Roman"/>
                <w:szCs w:val="21"/>
              </w:rPr>
              <w:t>、</w:t>
            </w:r>
            <w:r>
              <w:rPr>
                <w:rFonts w:ascii="Times New Roman" w:hAnsi="Times New Roman" w:cs="Times New Roman"/>
                <w:szCs w:val="21"/>
              </w:rPr>
              <w:t>Datastream</w:t>
            </w:r>
            <w:r>
              <w:rPr>
                <w:rFonts w:ascii="Times New Roman" w:hAnsi="Times New Roman" w:cs="Times New Roman"/>
                <w:szCs w:val="21"/>
              </w:rPr>
              <w:t>、</w:t>
            </w:r>
            <w:r>
              <w:rPr>
                <w:rFonts w:ascii="Times New Roman" w:hAnsi="Times New Roman" w:cs="Times New Roman"/>
                <w:bCs/>
                <w:szCs w:val="21"/>
              </w:rPr>
              <w:t>万得数据库以及学校购买的各类</w:t>
            </w:r>
            <w:r>
              <w:rPr>
                <w:rFonts w:ascii="Times New Roman" w:hAnsi="Times New Roman" w:cs="Times New Roman"/>
                <w:szCs w:val="21"/>
              </w:rPr>
              <w:t>中外文期刊数据库</w:t>
            </w:r>
          </w:p>
        </w:tc>
      </w:tr>
      <w:tr w:rsidR="003F622B">
        <w:trPr>
          <w:trHeight w:val="564"/>
        </w:trPr>
        <w:tc>
          <w:tcPr>
            <w:tcW w:w="925" w:type="pct"/>
            <w:tcBorders>
              <w:top w:val="single" w:sz="4" w:space="0" w:color="000000"/>
              <w:left w:val="single" w:sz="4" w:space="0" w:color="000000"/>
              <w:bottom w:val="single" w:sz="4" w:space="0" w:color="000000"/>
              <w:right w:val="single" w:sz="4" w:space="0" w:color="000000"/>
            </w:tcBorders>
            <w:vAlign w:val="center"/>
          </w:tcPr>
          <w:p w:rsidR="003F622B" w:rsidRDefault="00392E9E">
            <w:pPr>
              <w:jc w:val="center"/>
              <w:rPr>
                <w:rFonts w:ascii="Times New Roman" w:hAnsi="Times New Roman" w:cs="Times New Roman"/>
                <w:color w:val="000000"/>
                <w:szCs w:val="21"/>
              </w:rPr>
            </w:pPr>
            <w:r>
              <w:rPr>
                <w:rFonts w:ascii="Times New Roman" w:hAnsi="Times New Roman" w:cs="Times New Roman"/>
                <w:szCs w:val="21"/>
              </w:rPr>
              <w:t>图书资料</w:t>
            </w:r>
          </w:p>
        </w:tc>
        <w:tc>
          <w:tcPr>
            <w:tcW w:w="4075" w:type="pct"/>
            <w:tcBorders>
              <w:top w:val="single" w:sz="4" w:space="0" w:color="000000"/>
              <w:left w:val="single" w:sz="4" w:space="0" w:color="000000"/>
              <w:bottom w:val="single" w:sz="4" w:space="0" w:color="000000"/>
              <w:right w:val="single" w:sz="4" w:space="0" w:color="000000"/>
            </w:tcBorders>
            <w:vAlign w:val="center"/>
          </w:tcPr>
          <w:p w:rsidR="003F622B" w:rsidRDefault="00392E9E">
            <w:pPr>
              <w:jc w:val="left"/>
              <w:rPr>
                <w:rFonts w:ascii="Times New Roman" w:hAnsi="Times New Roman" w:cs="Times New Roman"/>
                <w:szCs w:val="21"/>
              </w:rPr>
            </w:pPr>
            <w:r>
              <w:rPr>
                <w:rFonts w:ascii="Times New Roman" w:hAnsi="Times New Roman" w:cs="Times New Roman"/>
                <w:szCs w:val="21"/>
              </w:rPr>
              <w:t>图书资料</w:t>
            </w:r>
            <w:r>
              <w:rPr>
                <w:rFonts w:ascii="Times New Roman" w:hAnsi="Times New Roman" w:cs="Times New Roman"/>
                <w:szCs w:val="21"/>
              </w:rPr>
              <w:t>2</w:t>
            </w:r>
            <w:r>
              <w:rPr>
                <w:rFonts w:ascii="Times New Roman" w:hAnsi="Times New Roman" w:cs="Times New Roman"/>
                <w:szCs w:val="21"/>
              </w:rPr>
              <w:t>万余册，中文期刊</w:t>
            </w:r>
            <w:r>
              <w:rPr>
                <w:rFonts w:ascii="Times New Roman" w:hAnsi="Times New Roman" w:cs="Times New Roman"/>
                <w:szCs w:val="21"/>
              </w:rPr>
              <w:t>26</w:t>
            </w:r>
            <w:r>
              <w:rPr>
                <w:rFonts w:ascii="Times New Roman" w:hAnsi="Times New Roman" w:cs="Times New Roman"/>
                <w:szCs w:val="21"/>
              </w:rPr>
              <w:t>种，外文期刊</w:t>
            </w:r>
            <w:r>
              <w:rPr>
                <w:rFonts w:ascii="Times New Roman" w:hAnsi="Times New Roman" w:cs="Times New Roman"/>
                <w:szCs w:val="21"/>
              </w:rPr>
              <w:t>4</w:t>
            </w:r>
            <w:r>
              <w:rPr>
                <w:rFonts w:ascii="Times New Roman" w:hAnsi="Times New Roman" w:cs="Times New Roman"/>
                <w:szCs w:val="21"/>
              </w:rPr>
              <w:t>种</w:t>
            </w:r>
          </w:p>
        </w:tc>
      </w:tr>
    </w:tbl>
    <w:p w:rsidR="003F622B" w:rsidRDefault="00392E9E">
      <w:pPr>
        <w:pStyle w:val="2"/>
        <w:ind w:firstLine="562"/>
        <w:rPr>
          <w:rFonts w:ascii="Times New Roman" w:hAnsi="Times New Roman" w:cs="Times New Roman"/>
        </w:rPr>
      </w:pPr>
      <w:r>
        <w:rPr>
          <w:rFonts w:ascii="Times New Roman" w:hAnsi="Times New Roman" w:cs="Times New Roman"/>
        </w:rPr>
        <w:t>二、</w:t>
      </w:r>
      <w:r>
        <w:rPr>
          <w:rFonts w:ascii="Times New Roman" w:hAnsi="Times New Roman" w:cs="Times New Roman"/>
        </w:rPr>
        <w:t>2020</w:t>
      </w:r>
      <w:r>
        <w:rPr>
          <w:rFonts w:ascii="Times New Roman" w:hAnsi="Times New Roman" w:cs="Times New Roman"/>
        </w:rPr>
        <w:t>年建设取得的成绩</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Pr>
          <w:rFonts w:ascii="Times New Roman" w:hAnsi="Times New Roman" w:cs="Times New Roman"/>
          <w:b/>
          <w:bCs/>
          <w:color w:val="000000"/>
          <w:sz w:val="28"/>
          <w:szCs w:val="28"/>
        </w:rPr>
        <w:t>制度建设</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hAnsi="Times New Roman" w:cs="Times New Roman"/>
          <w:kern w:val="0"/>
          <w:sz w:val="24"/>
          <w:szCs w:val="24"/>
        </w:rPr>
        <w:t>为进一步做好研究生培养工作，建立高水平有特色的研究生教育体系，</w:t>
      </w:r>
      <w:r>
        <w:rPr>
          <w:rFonts w:ascii="Times New Roman" w:hAnsi="Times New Roman" w:cs="Times New Roman"/>
          <w:kern w:val="0"/>
          <w:sz w:val="24"/>
          <w:szCs w:val="24"/>
        </w:rPr>
        <w:t>2020</w:t>
      </w:r>
      <w:r>
        <w:rPr>
          <w:rFonts w:ascii="Times New Roman" w:hAnsi="Times New Roman" w:cs="Times New Roman"/>
          <w:kern w:val="0"/>
          <w:sz w:val="24"/>
          <w:szCs w:val="24"/>
        </w:rPr>
        <w:t>年对相关制度进行了完善。完善了学生学位论文送审、预答辩等制度，对中期考核进行调整，如规定要扩大学位论文评阅领域，明确了各环节具体实施标准等。规范了研究生奖学金制度，设立研究生奖学金评审工作小组。</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bookmarkStart w:id="2" w:name="_Toc530587769"/>
      <w:r>
        <w:rPr>
          <w:rFonts w:ascii="Times New Roman" w:hAnsi="Times New Roman" w:cs="Times New Roman"/>
          <w:b/>
          <w:bCs/>
          <w:color w:val="000000"/>
          <w:sz w:val="28"/>
          <w:szCs w:val="28"/>
        </w:rPr>
        <w:t xml:space="preserve">2. </w:t>
      </w:r>
      <w:r>
        <w:rPr>
          <w:rFonts w:ascii="Times New Roman" w:hAnsi="Times New Roman" w:cs="Times New Roman"/>
          <w:b/>
          <w:bCs/>
          <w:color w:val="000000"/>
          <w:sz w:val="28"/>
          <w:szCs w:val="28"/>
        </w:rPr>
        <w:t>导师队伍建设</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）导师指导</w:t>
      </w:r>
      <w:bookmarkEnd w:id="2"/>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hAnsi="Times New Roman" w:cs="Times New Roman"/>
          <w:sz w:val="24"/>
          <w:szCs w:val="24"/>
        </w:rPr>
        <w:t>导师的选聘、考核等严格按照《山西大学博士研究生指导教师管理条例》和《山西大学硕士研究生指导教师管理条例》执行，导师指导研究生按照导师岗位职责制度执行。学位点每年对导师招生资格进行审核，科研积分低于</w:t>
      </w:r>
      <w:r>
        <w:rPr>
          <w:rFonts w:ascii="Times New Roman" w:hAnsi="Times New Roman" w:cs="Times New Roman"/>
          <w:sz w:val="24"/>
          <w:szCs w:val="24"/>
        </w:rPr>
        <w:t>200</w:t>
      </w:r>
      <w:r>
        <w:rPr>
          <w:rFonts w:ascii="Times New Roman" w:hAnsi="Times New Roman" w:cs="Times New Roman"/>
          <w:sz w:val="24"/>
          <w:szCs w:val="24"/>
        </w:rPr>
        <w:t>分者当年不得招生。</w:t>
      </w:r>
      <w:r>
        <w:rPr>
          <w:rFonts w:ascii="Times New Roman" w:eastAsia="宋体" w:hAnsi="Times New Roman" w:cs="Times New Roman"/>
          <w:kern w:val="0"/>
          <w:sz w:val="24"/>
          <w:szCs w:val="24"/>
        </w:rPr>
        <w:t>2020</w:t>
      </w:r>
      <w:r>
        <w:rPr>
          <w:rFonts w:ascii="Times New Roman" w:eastAsia="宋体" w:hAnsi="Times New Roman" w:cs="Times New Roman"/>
          <w:kern w:val="0"/>
          <w:sz w:val="24"/>
          <w:szCs w:val="24"/>
        </w:rPr>
        <w:t>年以来坚持采用线上线下相结合的科研讨论模式</w:t>
      </w:r>
      <w:r>
        <w:rPr>
          <w:rFonts w:ascii="Times New Roman" w:hAnsi="Times New Roman" w:cs="Times New Roman"/>
          <w:kern w:val="0"/>
          <w:sz w:val="24"/>
          <w:szCs w:val="24"/>
        </w:rPr>
        <w:t>指导学生</w:t>
      </w:r>
      <w:r>
        <w:rPr>
          <w:rFonts w:ascii="Times New Roman" w:eastAsia="宋体" w:hAnsi="Times New Roman" w:cs="Times New Roman"/>
          <w:kern w:val="0"/>
          <w:sz w:val="24"/>
          <w:szCs w:val="24"/>
        </w:rPr>
        <w:t>，累计实现远程学术交流</w:t>
      </w:r>
      <w:r>
        <w:rPr>
          <w:rFonts w:ascii="Times New Roman" w:eastAsia="宋体" w:hAnsi="Times New Roman" w:cs="Times New Roman"/>
          <w:kern w:val="0"/>
          <w:sz w:val="24"/>
          <w:szCs w:val="24"/>
        </w:rPr>
        <w:t>60</w:t>
      </w:r>
      <w:r>
        <w:rPr>
          <w:rFonts w:ascii="Times New Roman" w:eastAsia="宋体" w:hAnsi="Times New Roman" w:cs="Times New Roman"/>
          <w:kern w:val="0"/>
          <w:sz w:val="24"/>
          <w:szCs w:val="24"/>
        </w:rPr>
        <w:t>余次，师生参与人次达</w:t>
      </w:r>
      <w:r>
        <w:rPr>
          <w:rFonts w:ascii="Times New Roman" w:eastAsia="宋体" w:hAnsi="Times New Roman" w:cs="Times New Roman"/>
          <w:kern w:val="0"/>
          <w:sz w:val="24"/>
          <w:szCs w:val="24"/>
        </w:rPr>
        <w:t>1600</w:t>
      </w:r>
      <w:r>
        <w:rPr>
          <w:rFonts w:ascii="Times New Roman" w:eastAsia="宋体" w:hAnsi="Times New Roman" w:cs="Times New Roman"/>
          <w:kern w:val="0"/>
          <w:sz w:val="24"/>
          <w:szCs w:val="24"/>
        </w:rPr>
        <w:t>余人次。</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）师德师风</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全体教师深入学习贯彻习近平总书记关于教育的重要论述和教师队伍建设重要指示，在学院构建的</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三全育人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体系下，积极进行师生全员、全过</w:t>
      </w:r>
      <w:r>
        <w:rPr>
          <w:rFonts w:ascii="Times New Roman" w:eastAsia="宋体" w:hAnsi="Times New Roman" w:cs="Times New Roman"/>
          <w:kern w:val="0"/>
          <w:sz w:val="24"/>
          <w:szCs w:val="24"/>
        </w:rPr>
        <w:lastRenderedPageBreak/>
        <w:t>程、全范围的教学科研育人探索。疫情之下，学科团队亦不忘全员参与科研育人，鉴于团队</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三全育人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工作中的突出表现，学科多名教师受到学校表彰。第三十五个教师节表彰会上，杨威副教授荣获</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先进青年教师</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称号。</w:t>
      </w:r>
      <w:r>
        <w:rPr>
          <w:rFonts w:ascii="Times New Roman" w:eastAsia="宋体" w:hAnsi="Times New Roman" w:cs="Times New Roman"/>
          <w:kern w:val="0"/>
          <w:sz w:val="24"/>
          <w:szCs w:val="24"/>
        </w:rPr>
        <w:t xml:space="preserve"> </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w:t>
      </w:r>
      <w:r>
        <w:rPr>
          <w:rFonts w:ascii="Times New Roman" w:hAnsi="Times New Roman" w:cs="Times New Roman"/>
          <w:b/>
          <w:bCs/>
          <w:color w:val="000000"/>
          <w:sz w:val="28"/>
          <w:szCs w:val="28"/>
        </w:rPr>
        <w:t>研究生招生</w:t>
      </w:r>
    </w:p>
    <w:p w:rsidR="003F622B" w:rsidRPr="00A30074" w:rsidRDefault="00392E9E">
      <w:pPr>
        <w:spacing w:line="520" w:lineRule="exact"/>
        <w:ind w:firstLineChars="200" w:firstLine="480"/>
        <w:rPr>
          <w:rFonts w:ascii="Times New Roman" w:eastAsia="宋体" w:hAnsi="Times New Roman" w:cs="Times New Roman"/>
          <w:sz w:val="24"/>
          <w:szCs w:val="24"/>
        </w:rPr>
      </w:pPr>
      <w:r>
        <w:rPr>
          <w:rFonts w:ascii="Times New Roman" w:hAnsi="Times New Roman" w:cs="Times New Roman"/>
          <w:sz w:val="24"/>
          <w:szCs w:val="24"/>
        </w:rPr>
        <w:t>为保证生源质量，</w:t>
      </w:r>
      <w:r>
        <w:rPr>
          <w:rFonts w:ascii="Times New Roman" w:eastAsia="宋体" w:hAnsi="Times New Roman" w:cs="Times New Roman" w:hint="eastAsia"/>
          <w:kern w:val="0"/>
          <w:sz w:val="24"/>
          <w:szCs w:val="24"/>
        </w:rPr>
        <w:t>本授权点</w:t>
      </w:r>
      <w:r>
        <w:rPr>
          <w:rFonts w:ascii="Times New Roman" w:hAnsi="Times New Roman" w:cs="Times New Roman"/>
          <w:sz w:val="24"/>
          <w:szCs w:val="24"/>
        </w:rPr>
        <w:t>采取的措施有：</w:t>
      </w:r>
      <w:r>
        <w:rPr>
          <w:rFonts w:ascii="Times New Roman" w:hAnsi="Times New Roman" w:cs="Times New Roman"/>
          <w:sz w:val="24"/>
          <w:szCs w:val="24"/>
        </w:rPr>
        <w:t>(1)</w:t>
      </w:r>
      <w:r>
        <w:rPr>
          <w:rFonts w:ascii="Times New Roman" w:hAnsi="Times New Roman" w:cs="Times New Roman"/>
          <w:sz w:val="24"/>
          <w:szCs w:val="24"/>
        </w:rPr>
        <w:t>积极宣传研究生资助政策，</w:t>
      </w:r>
      <w:r w:rsidRPr="00A30074">
        <w:rPr>
          <w:rFonts w:ascii="Times New Roman" w:hAnsi="Times New Roman" w:cs="Times New Roman"/>
          <w:sz w:val="24"/>
          <w:szCs w:val="24"/>
        </w:rPr>
        <w:t>吸引更多优秀学生报考；</w:t>
      </w:r>
      <w:r w:rsidRPr="00A30074">
        <w:rPr>
          <w:rFonts w:ascii="Times New Roman" w:hAnsi="Times New Roman" w:cs="Times New Roman"/>
          <w:sz w:val="24"/>
          <w:szCs w:val="24"/>
        </w:rPr>
        <w:t>(2)</w:t>
      </w:r>
      <w:r w:rsidR="002A6EE7" w:rsidRPr="00A30074">
        <w:rPr>
          <w:rFonts w:ascii="Times New Roman" w:hAnsi="Times New Roman" w:cs="Times New Roman" w:hint="eastAsia"/>
          <w:sz w:val="24"/>
          <w:szCs w:val="24"/>
        </w:rPr>
        <w:t>鼓励导师用科研经费资助硕博连读学生学费</w:t>
      </w:r>
      <w:r w:rsidRPr="00A30074">
        <w:rPr>
          <w:rFonts w:ascii="Times New Roman" w:hAnsi="Times New Roman" w:cs="Times New Roman"/>
          <w:sz w:val="24"/>
          <w:szCs w:val="24"/>
        </w:rPr>
        <w:t>，尽可能将本校优秀毕业生留住；</w:t>
      </w:r>
      <w:r w:rsidRPr="00A30074">
        <w:rPr>
          <w:rFonts w:ascii="Times New Roman" w:hAnsi="Times New Roman" w:cs="Times New Roman"/>
          <w:sz w:val="24"/>
          <w:szCs w:val="24"/>
        </w:rPr>
        <w:t>2020</w:t>
      </w:r>
      <w:r w:rsidRPr="00A30074">
        <w:rPr>
          <w:rFonts w:ascii="Times New Roman" w:hAnsi="Times New Roman" w:cs="Times New Roman"/>
          <w:sz w:val="24"/>
          <w:szCs w:val="24"/>
        </w:rPr>
        <w:t>年招生情况为：博士报考</w:t>
      </w:r>
      <w:r w:rsidRPr="00A30074">
        <w:rPr>
          <w:rFonts w:ascii="Times New Roman" w:hAnsi="Times New Roman" w:cs="Times New Roman"/>
          <w:sz w:val="24"/>
          <w:szCs w:val="24"/>
        </w:rPr>
        <w:t>6</w:t>
      </w:r>
      <w:r w:rsidRPr="00A30074">
        <w:rPr>
          <w:rFonts w:ascii="Times New Roman" w:hAnsi="Times New Roman" w:cs="Times New Roman"/>
          <w:sz w:val="24"/>
          <w:szCs w:val="24"/>
        </w:rPr>
        <w:t>人，录取</w:t>
      </w:r>
      <w:r w:rsidRPr="00A30074">
        <w:rPr>
          <w:rFonts w:ascii="Times New Roman" w:hAnsi="Times New Roman" w:cs="Times New Roman"/>
          <w:sz w:val="24"/>
          <w:szCs w:val="24"/>
        </w:rPr>
        <w:t>3</w:t>
      </w:r>
      <w:r w:rsidRPr="00A30074">
        <w:rPr>
          <w:rFonts w:ascii="Times New Roman" w:hAnsi="Times New Roman" w:cs="Times New Roman"/>
          <w:sz w:val="24"/>
          <w:szCs w:val="24"/>
        </w:rPr>
        <w:t>人，录取比例为</w:t>
      </w:r>
      <w:r w:rsidRPr="00A30074">
        <w:rPr>
          <w:rFonts w:ascii="Times New Roman" w:hAnsi="Times New Roman" w:cs="Times New Roman"/>
          <w:sz w:val="24"/>
          <w:szCs w:val="24"/>
        </w:rPr>
        <w:t>50%</w:t>
      </w:r>
      <w:r w:rsidRPr="00A30074">
        <w:rPr>
          <w:rFonts w:ascii="Times New Roman" w:hAnsi="Times New Roman" w:cs="Times New Roman"/>
          <w:sz w:val="24"/>
          <w:szCs w:val="24"/>
        </w:rPr>
        <w:t>；硕士报考</w:t>
      </w:r>
      <w:r w:rsidRPr="00A30074">
        <w:rPr>
          <w:rFonts w:ascii="Times New Roman" w:hAnsi="Times New Roman" w:cs="Times New Roman"/>
          <w:sz w:val="24"/>
          <w:szCs w:val="24"/>
        </w:rPr>
        <w:t>78</w:t>
      </w:r>
      <w:r w:rsidRPr="00A30074">
        <w:rPr>
          <w:rFonts w:ascii="Times New Roman" w:hAnsi="Times New Roman" w:cs="Times New Roman"/>
          <w:sz w:val="24"/>
          <w:szCs w:val="24"/>
        </w:rPr>
        <w:t>人，录取</w:t>
      </w:r>
      <w:r w:rsidRPr="00A30074">
        <w:rPr>
          <w:rFonts w:ascii="Times New Roman" w:hAnsi="Times New Roman" w:cs="Times New Roman"/>
          <w:sz w:val="24"/>
          <w:szCs w:val="24"/>
        </w:rPr>
        <w:t>16</w:t>
      </w:r>
      <w:r w:rsidRPr="00A30074">
        <w:rPr>
          <w:rFonts w:ascii="Times New Roman" w:hAnsi="Times New Roman" w:cs="Times New Roman"/>
          <w:sz w:val="24"/>
          <w:szCs w:val="24"/>
        </w:rPr>
        <w:t>人，录取比例为</w:t>
      </w:r>
      <w:r w:rsidRPr="00A30074">
        <w:rPr>
          <w:rFonts w:ascii="Times New Roman" w:hAnsi="Times New Roman" w:cs="Times New Roman"/>
          <w:sz w:val="24"/>
          <w:szCs w:val="24"/>
        </w:rPr>
        <w:t>20%</w:t>
      </w:r>
      <w:r w:rsidR="000F65ED" w:rsidRPr="00A30074">
        <w:rPr>
          <w:rFonts w:ascii="Times New Roman" w:hAnsi="Times New Roman" w:cs="Times New Roman" w:hint="eastAsia"/>
          <w:sz w:val="24"/>
          <w:szCs w:val="24"/>
        </w:rPr>
        <w:t>；接收</w:t>
      </w:r>
      <w:r w:rsidRPr="00A30074">
        <w:rPr>
          <w:rFonts w:ascii="Times New Roman" w:hAnsi="Times New Roman" w:cs="Times New Roman"/>
          <w:sz w:val="24"/>
          <w:szCs w:val="24"/>
        </w:rPr>
        <w:t>推免</w:t>
      </w:r>
      <w:r w:rsidR="000F65ED" w:rsidRPr="00A30074">
        <w:rPr>
          <w:rFonts w:ascii="Times New Roman" w:hAnsi="Times New Roman" w:cs="Times New Roman" w:hint="eastAsia"/>
          <w:sz w:val="24"/>
          <w:szCs w:val="24"/>
        </w:rPr>
        <w:t>硕士研究生</w:t>
      </w:r>
      <w:r w:rsidRPr="00A30074">
        <w:rPr>
          <w:rFonts w:ascii="Times New Roman" w:hAnsi="Times New Roman" w:cs="Times New Roman"/>
          <w:sz w:val="24"/>
          <w:szCs w:val="24"/>
        </w:rPr>
        <w:t>3</w:t>
      </w:r>
      <w:r w:rsidRPr="00A30074">
        <w:rPr>
          <w:rFonts w:ascii="Times New Roman" w:hAnsi="Times New Roman" w:cs="Times New Roman"/>
          <w:sz w:val="24"/>
          <w:szCs w:val="24"/>
        </w:rPr>
        <w:t>人。</w:t>
      </w:r>
    </w:p>
    <w:p w:rsidR="003F622B" w:rsidRDefault="00392E9E">
      <w:pPr>
        <w:spacing w:line="520" w:lineRule="exact"/>
        <w:ind w:firstLineChars="200" w:firstLine="562"/>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 </w:t>
      </w:r>
      <w:r>
        <w:rPr>
          <w:rFonts w:ascii="Times New Roman" w:hAnsi="Times New Roman" w:cs="Times New Roman"/>
          <w:b/>
          <w:bCs/>
          <w:color w:val="000000"/>
          <w:sz w:val="28"/>
          <w:szCs w:val="28"/>
        </w:rPr>
        <w:t>研究生培养</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）思政教育</w:t>
      </w:r>
    </w:p>
    <w:p w:rsidR="003F622B" w:rsidRDefault="00392E9E">
      <w:pPr>
        <w:widowControl/>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本授权点</w:t>
      </w:r>
      <w:r>
        <w:rPr>
          <w:rFonts w:ascii="Times New Roman" w:eastAsia="宋体" w:hAnsi="Times New Roman" w:cs="Times New Roman"/>
          <w:sz w:val="24"/>
          <w:szCs w:val="24"/>
        </w:rPr>
        <w:t>隶属的山西大学经济与管理学院是山西省唯一的教育部</w:t>
      </w:r>
      <w:r>
        <w:rPr>
          <w:rFonts w:ascii="Times New Roman" w:eastAsia="宋体" w:hAnsi="Times New Roman" w:cs="Times New Roman"/>
          <w:sz w:val="24"/>
          <w:szCs w:val="24"/>
        </w:rPr>
        <w:t>“</w:t>
      </w:r>
      <w:r>
        <w:rPr>
          <w:rFonts w:ascii="Times New Roman" w:eastAsia="宋体" w:hAnsi="Times New Roman" w:cs="Times New Roman"/>
          <w:sz w:val="24"/>
          <w:szCs w:val="24"/>
        </w:rPr>
        <w:t>三全育人</w:t>
      </w:r>
      <w:r>
        <w:rPr>
          <w:rFonts w:ascii="Times New Roman" w:eastAsia="宋体" w:hAnsi="Times New Roman" w:cs="Times New Roman"/>
          <w:sz w:val="24"/>
          <w:szCs w:val="24"/>
        </w:rPr>
        <w:t>”</w:t>
      </w:r>
      <w:r>
        <w:rPr>
          <w:rFonts w:ascii="Times New Roman" w:eastAsia="宋体" w:hAnsi="Times New Roman" w:cs="Times New Roman"/>
          <w:sz w:val="24"/>
          <w:szCs w:val="24"/>
        </w:rPr>
        <w:t>综合改革试点院。以课程思政为核心，实施课程思政专项支持计划，出台《课程思政实施方案》，以实践育人为重点，利用大项目开展大思政，组织研究生</w:t>
      </w:r>
      <w:r>
        <w:rPr>
          <w:rFonts w:ascii="Times New Roman" w:eastAsia="宋体" w:hAnsi="Times New Roman" w:cs="Times New Roman" w:hint="eastAsia"/>
          <w:sz w:val="24"/>
          <w:szCs w:val="24"/>
        </w:rPr>
        <w:t>500</w:t>
      </w:r>
      <w:r>
        <w:rPr>
          <w:rFonts w:ascii="Times New Roman" w:eastAsia="宋体" w:hAnsi="Times New Roman" w:cs="Times New Roman"/>
          <w:sz w:val="24"/>
          <w:szCs w:val="24"/>
        </w:rPr>
        <w:t>余人次参与贫困县退出和困难职工解困脱困第三方评估。研究生第二党支部被评为山西省高校党建工作样板支部。</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）课程教学</w:t>
      </w:r>
    </w:p>
    <w:p w:rsidR="003F622B" w:rsidRDefault="00392E9E">
      <w:pPr>
        <w:widowControl/>
        <w:spacing w:line="520" w:lineRule="exact"/>
        <w:ind w:firstLine="480"/>
        <w:rPr>
          <w:rFonts w:ascii="Times New Roman" w:eastAsia="宋体" w:hAnsi="Times New Roman" w:cs="Times New Roman"/>
          <w:sz w:val="24"/>
          <w:szCs w:val="24"/>
        </w:rPr>
      </w:pPr>
      <w:r>
        <w:rPr>
          <w:rFonts w:ascii="Times New Roman" w:eastAsia="宋体" w:hAnsi="Times New Roman" w:cs="Times New Roman"/>
          <w:sz w:val="24"/>
          <w:szCs w:val="24"/>
        </w:rPr>
        <w:t>博士生开设了管理学前沿、高级微观经济学、随机分析</w:t>
      </w:r>
      <w:r>
        <w:rPr>
          <w:rFonts w:ascii="Times New Roman" w:eastAsia="宋体" w:hAnsi="Times New Roman" w:cs="Times New Roman"/>
          <w:sz w:val="24"/>
          <w:szCs w:val="24"/>
        </w:rPr>
        <w:t>3</w:t>
      </w:r>
      <w:r>
        <w:rPr>
          <w:rFonts w:ascii="Times New Roman" w:eastAsia="宋体" w:hAnsi="Times New Roman" w:cs="Times New Roman"/>
          <w:sz w:val="24"/>
          <w:szCs w:val="24"/>
        </w:rPr>
        <w:t>门必修课和高级微观金融、企业生态管理理论与方法、资产定价</w:t>
      </w:r>
      <w:r>
        <w:rPr>
          <w:rFonts w:ascii="Times New Roman" w:eastAsia="宋体" w:hAnsi="Times New Roman" w:cs="Times New Roman"/>
          <w:sz w:val="24"/>
          <w:szCs w:val="24"/>
        </w:rPr>
        <w:t>3</w:t>
      </w:r>
      <w:r>
        <w:rPr>
          <w:rFonts w:ascii="Times New Roman" w:eastAsia="宋体" w:hAnsi="Times New Roman" w:cs="Times New Roman"/>
          <w:sz w:val="24"/>
          <w:szCs w:val="24"/>
        </w:rPr>
        <w:t>门选修课。硕士生开设了高级运筹学、中级微观经济学等</w:t>
      </w:r>
      <w:r>
        <w:rPr>
          <w:rFonts w:ascii="Times New Roman" w:eastAsia="宋体" w:hAnsi="Times New Roman" w:cs="Times New Roman"/>
          <w:sz w:val="24"/>
          <w:szCs w:val="24"/>
        </w:rPr>
        <w:t>6</w:t>
      </w:r>
      <w:r>
        <w:rPr>
          <w:rFonts w:ascii="Times New Roman" w:eastAsia="宋体" w:hAnsi="Times New Roman" w:cs="Times New Roman"/>
          <w:sz w:val="24"/>
          <w:szCs w:val="24"/>
        </w:rPr>
        <w:t>门必修课与金融经济学、组织生态管理等</w:t>
      </w:r>
      <w:r>
        <w:rPr>
          <w:rFonts w:ascii="Times New Roman" w:eastAsia="宋体" w:hAnsi="Times New Roman" w:cs="Times New Roman"/>
          <w:sz w:val="24"/>
          <w:szCs w:val="24"/>
        </w:rPr>
        <w:t>13</w:t>
      </w:r>
      <w:r>
        <w:rPr>
          <w:rFonts w:ascii="Times New Roman" w:eastAsia="宋体" w:hAnsi="Times New Roman" w:cs="Times New Roman"/>
          <w:sz w:val="24"/>
          <w:szCs w:val="24"/>
        </w:rPr>
        <w:t>门选修课。</w:t>
      </w:r>
    </w:p>
    <w:p w:rsidR="003F622B" w:rsidRDefault="00392E9E">
      <w:pPr>
        <w:widowControl/>
        <w:spacing w:line="520" w:lineRule="exact"/>
        <w:ind w:firstLine="480"/>
        <w:rPr>
          <w:rFonts w:ascii="Times New Roman" w:eastAsia="宋体" w:hAnsi="Times New Roman" w:cs="Times New Roman"/>
          <w:sz w:val="24"/>
          <w:szCs w:val="24"/>
        </w:rPr>
      </w:pPr>
      <w:r>
        <w:rPr>
          <w:rFonts w:ascii="Times New Roman" w:eastAsia="宋体" w:hAnsi="Times New Roman" w:cs="Times New Roman"/>
          <w:sz w:val="24"/>
          <w:szCs w:val="24"/>
        </w:rPr>
        <w:t>为保证研究生课程授课质量，在疫情期间通过雨课堂、腾讯会议、企业微信等平台进行网上授课时，学校和学院研究生教学指导委员会严格执行查课和听课制度，通过巡课制度对上课情况进行记录，督促教师与学生高质量的完成教学任务。</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）学术训练</w:t>
      </w:r>
    </w:p>
    <w:p w:rsidR="003F622B" w:rsidRDefault="00392E9E">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lastRenderedPageBreak/>
        <w:t>本授权点</w:t>
      </w:r>
      <w:r>
        <w:rPr>
          <w:rFonts w:ascii="Times New Roman" w:eastAsia="宋体" w:hAnsi="Times New Roman" w:cs="Times New Roman"/>
          <w:sz w:val="24"/>
          <w:szCs w:val="24"/>
        </w:rPr>
        <w:t>学术训练按照《山西大学研究生专业实践管理办法》和《山西大学管理科学与工程学术活动制度》要求执行，各方向每周至少开展一次学术研讨活动，要求博士生和硕士生必须参加，疫情期间通过网络开展学术研讨，研究生依托于导师的科研项目开展学术研究，进行实践调研与考察，定期汇报进展，撰写研究报告。学术训练所需经费由重点学科经费以及导师科研经费支出。</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）学术交流</w:t>
      </w:r>
    </w:p>
    <w:p w:rsidR="003F622B" w:rsidRDefault="00392E9E">
      <w:pPr>
        <w:widowControl/>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本授权点</w:t>
      </w:r>
      <w:r>
        <w:rPr>
          <w:rFonts w:ascii="Times New Roman" w:eastAsia="宋体" w:hAnsi="Times New Roman" w:cs="Times New Roman"/>
          <w:sz w:val="24"/>
          <w:szCs w:val="24"/>
        </w:rPr>
        <w:t>鼓励学生参加国内外高水平学术会议，选派优秀学生出国访学，到国内高校进行交流研修。</w:t>
      </w:r>
      <w:r>
        <w:rPr>
          <w:rFonts w:ascii="Times New Roman" w:eastAsia="宋体" w:hAnsi="Times New Roman" w:cs="Times New Roman"/>
          <w:sz w:val="24"/>
          <w:szCs w:val="24"/>
        </w:rPr>
        <w:t>2020</w:t>
      </w:r>
      <w:r>
        <w:rPr>
          <w:rFonts w:ascii="Times New Roman" w:eastAsia="宋体" w:hAnsi="Times New Roman" w:cs="Times New Roman"/>
          <w:sz w:val="24"/>
          <w:szCs w:val="24"/>
        </w:rPr>
        <w:t>年有邹美凤、刘唤、田洁等</w:t>
      </w:r>
      <w:r>
        <w:rPr>
          <w:rFonts w:ascii="Times New Roman" w:eastAsia="宋体" w:hAnsi="Times New Roman" w:cs="Times New Roman"/>
          <w:sz w:val="24"/>
          <w:szCs w:val="24"/>
        </w:rPr>
        <w:t>12</w:t>
      </w:r>
      <w:r>
        <w:rPr>
          <w:rFonts w:ascii="Times New Roman" w:eastAsia="宋体" w:hAnsi="Times New Roman" w:cs="Times New Roman"/>
          <w:sz w:val="24"/>
          <w:szCs w:val="24"/>
        </w:rPr>
        <w:t>名学生参加台湾财务金融学年会、第十八届金融系统工程与风险管理国际年会、第二届金融管理和金融稳定国际会议等国际学术会议，并做口头报告。</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5</w:t>
      </w:r>
      <w:r>
        <w:rPr>
          <w:rFonts w:ascii="Times New Roman" w:hAnsi="Times New Roman" w:cs="Times New Roman"/>
          <w:b/>
          <w:bCs/>
          <w:sz w:val="24"/>
          <w:szCs w:val="24"/>
        </w:rPr>
        <w:t>）论文质量</w:t>
      </w:r>
    </w:p>
    <w:p w:rsidR="003F622B" w:rsidRDefault="00392E9E">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本授权点</w:t>
      </w:r>
      <w:r>
        <w:rPr>
          <w:rFonts w:ascii="Times New Roman" w:eastAsia="宋体" w:hAnsi="Times New Roman" w:cs="Times New Roman"/>
          <w:sz w:val="24"/>
          <w:szCs w:val="24"/>
        </w:rPr>
        <w:t>严抓学生学位论文质量，从论文的开题、预答辩、查重检验、教育部外审、正式答辩等环节严格落实全面质量管理。</w:t>
      </w:r>
      <w:r>
        <w:rPr>
          <w:rFonts w:ascii="Times New Roman" w:eastAsia="宋体" w:hAnsi="Times New Roman" w:cs="Times New Roman"/>
          <w:sz w:val="24"/>
          <w:szCs w:val="24"/>
        </w:rPr>
        <w:t>2020</w:t>
      </w:r>
      <w:r>
        <w:rPr>
          <w:rFonts w:ascii="Times New Roman" w:eastAsia="宋体" w:hAnsi="Times New Roman" w:cs="Times New Roman"/>
          <w:sz w:val="24"/>
          <w:szCs w:val="24"/>
        </w:rPr>
        <w:t>届研究生毕业论文全部通过查重、外审与答辩，其中</w:t>
      </w:r>
      <w:r>
        <w:rPr>
          <w:rFonts w:ascii="Times New Roman" w:eastAsia="宋体" w:hAnsi="Times New Roman" w:cs="Times New Roman"/>
          <w:sz w:val="24"/>
          <w:szCs w:val="24"/>
        </w:rPr>
        <w:t>1</w:t>
      </w:r>
      <w:r>
        <w:rPr>
          <w:rFonts w:ascii="Times New Roman" w:eastAsia="宋体" w:hAnsi="Times New Roman" w:cs="Times New Roman"/>
          <w:sz w:val="24"/>
          <w:szCs w:val="24"/>
        </w:rPr>
        <w:t>篇硕士论文获得山西大学优秀硕士学位论文，</w:t>
      </w:r>
      <w:r>
        <w:rPr>
          <w:rFonts w:ascii="Times New Roman" w:eastAsia="宋体" w:hAnsi="Times New Roman" w:cs="Times New Roman"/>
          <w:sz w:val="24"/>
          <w:szCs w:val="24"/>
        </w:rPr>
        <w:t>1</w:t>
      </w:r>
      <w:r>
        <w:rPr>
          <w:rFonts w:ascii="Times New Roman" w:eastAsia="宋体" w:hAnsi="Times New Roman" w:cs="Times New Roman"/>
          <w:sz w:val="24"/>
          <w:szCs w:val="24"/>
        </w:rPr>
        <w:t>篇博士论文获得山西大学优秀博士学位论文，</w:t>
      </w:r>
      <w:r>
        <w:rPr>
          <w:rFonts w:ascii="Times New Roman" w:eastAsia="宋体" w:hAnsi="Times New Roman" w:cs="Times New Roman"/>
          <w:sz w:val="24"/>
          <w:szCs w:val="24"/>
        </w:rPr>
        <w:t>1</w:t>
      </w:r>
      <w:r>
        <w:rPr>
          <w:rFonts w:ascii="Times New Roman" w:eastAsia="宋体" w:hAnsi="Times New Roman" w:cs="Times New Roman"/>
          <w:sz w:val="24"/>
          <w:szCs w:val="24"/>
        </w:rPr>
        <w:t>篇学术论文获得第</w:t>
      </w:r>
      <w:r>
        <w:rPr>
          <w:rFonts w:ascii="Times New Roman" w:eastAsia="宋体" w:hAnsi="Times New Roman" w:cs="Times New Roman"/>
          <w:sz w:val="24"/>
          <w:szCs w:val="24"/>
        </w:rPr>
        <w:t>18</w:t>
      </w:r>
      <w:r>
        <w:rPr>
          <w:rFonts w:ascii="Times New Roman" w:eastAsia="宋体" w:hAnsi="Times New Roman" w:cs="Times New Roman"/>
          <w:sz w:val="24"/>
          <w:szCs w:val="24"/>
        </w:rPr>
        <w:t>届金融系统工程与风险管理国际年会优秀论文，并有多篇论文在国内外高水平期刊上发表。</w:t>
      </w:r>
    </w:p>
    <w:p w:rsidR="003F622B" w:rsidRDefault="00392E9E">
      <w:pPr>
        <w:spacing w:line="52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6</w:t>
      </w:r>
      <w:r>
        <w:rPr>
          <w:rFonts w:ascii="Times New Roman" w:hAnsi="Times New Roman" w:cs="Times New Roman"/>
          <w:b/>
          <w:bCs/>
          <w:sz w:val="24"/>
          <w:szCs w:val="24"/>
        </w:rPr>
        <w:t>）学风建设</w:t>
      </w:r>
    </w:p>
    <w:p w:rsidR="003F622B" w:rsidRDefault="00392E9E">
      <w:pPr>
        <w:widowControl/>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学风建设方面开设了公共选修课《学术道德与学术规范》，制定了《研究生学术不端行为的处罚条例》，并在研究生入学时，举办学术道德与学术规范的专题讲座。严格执行学校制定的一系列管理制度和论文评审条例，发现问题及时解决，对于不合格的学位论文取消作者答辩资格。</w:t>
      </w:r>
      <w:r>
        <w:rPr>
          <w:rFonts w:ascii="Times New Roman" w:eastAsia="宋体" w:hAnsi="Times New Roman" w:cs="Times New Roman" w:hint="eastAsia"/>
          <w:sz w:val="24"/>
          <w:szCs w:val="24"/>
        </w:rPr>
        <w:t>本授权点</w:t>
      </w:r>
      <w:r>
        <w:rPr>
          <w:rFonts w:ascii="Times New Roman" w:eastAsia="宋体" w:hAnsi="Times New Roman" w:cs="Times New Roman"/>
          <w:sz w:val="24"/>
          <w:szCs w:val="24"/>
        </w:rPr>
        <w:t>的研究生至今未出现学术腐败和学术不端行为。</w:t>
      </w:r>
    </w:p>
    <w:p w:rsidR="003F622B" w:rsidRDefault="00392E9E">
      <w:pPr>
        <w:spacing w:line="520" w:lineRule="exact"/>
        <w:ind w:firstLineChars="200" w:firstLine="562"/>
        <w:outlineLvl w:val="2"/>
        <w:rPr>
          <w:rFonts w:ascii="Times New Roman" w:eastAsia="宋体" w:hAnsi="Times New Roman" w:cs="Times New Roman"/>
          <w:b/>
          <w:bCs/>
          <w:color w:val="000000"/>
          <w:sz w:val="28"/>
          <w:szCs w:val="28"/>
        </w:rPr>
      </w:pPr>
      <w:r>
        <w:rPr>
          <w:rFonts w:ascii="Times New Roman" w:eastAsia="宋体" w:hAnsi="Times New Roman" w:cs="Times New Roman"/>
          <w:b/>
          <w:bCs/>
          <w:color w:val="000000"/>
          <w:sz w:val="28"/>
          <w:szCs w:val="28"/>
        </w:rPr>
        <w:t xml:space="preserve">5. </w:t>
      </w:r>
      <w:r>
        <w:rPr>
          <w:rFonts w:ascii="Times New Roman" w:eastAsia="宋体" w:hAnsi="Times New Roman" w:cs="Times New Roman"/>
          <w:b/>
          <w:bCs/>
          <w:color w:val="000000"/>
          <w:sz w:val="28"/>
          <w:szCs w:val="28"/>
        </w:rPr>
        <w:t>管理服务</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学校制定了涉及研究生招生、导师管理、课程教学、学风建设、学位授予、分流淘汰、奖惩制度及日常管理等一整套完整的管理制度体系。在此基础上，</w:t>
      </w: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相继制定了《山西大学管理科学与工程博（硕）士生管理规定》、《山西</w:t>
      </w:r>
      <w:r>
        <w:rPr>
          <w:rFonts w:ascii="Times New Roman" w:eastAsia="宋体" w:hAnsi="Times New Roman" w:cs="Times New Roman"/>
          <w:kern w:val="0"/>
          <w:sz w:val="24"/>
          <w:szCs w:val="24"/>
        </w:rPr>
        <w:lastRenderedPageBreak/>
        <w:t>大学管理科学与工程博士生论文规范》等一系列管理制度，保证了研究生培养工作有序开展。同时，充分发挥网络作用，建立微信公众号，及时推送服务信息，通过网络加强和研究生的交流。定期组织高水平座谈会，大力开展形式与政策教育。</w:t>
      </w:r>
      <w:r>
        <w:rPr>
          <w:rFonts w:ascii="Times New Roman" w:eastAsia="宋体" w:hAnsi="Times New Roman" w:cs="Times New Roman"/>
          <w:kern w:val="0"/>
          <w:sz w:val="24"/>
          <w:szCs w:val="24"/>
        </w:rPr>
        <w:t>2020</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研究生学习满意度均达到</w:t>
      </w:r>
      <w:r>
        <w:rPr>
          <w:rFonts w:ascii="Times New Roman" w:eastAsia="宋体" w:hAnsi="Times New Roman" w:cs="Times New Roman"/>
          <w:kern w:val="0"/>
          <w:sz w:val="24"/>
          <w:szCs w:val="24"/>
        </w:rPr>
        <w:t>90%</w:t>
      </w:r>
      <w:r>
        <w:rPr>
          <w:rFonts w:ascii="Times New Roman" w:eastAsia="宋体" w:hAnsi="Times New Roman" w:cs="Times New Roman"/>
          <w:kern w:val="0"/>
          <w:sz w:val="24"/>
          <w:szCs w:val="24"/>
        </w:rPr>
        <w:t>以上。</w:t>
      </w:r>
    </w:p>
    <w:p w:rsidR="003F622B" w:rsidRDefault="00392E9E">
      <w:pPr>
        <w:spacing w:line="520" w:lineRule="exact"/>
        <w:ind w:firstLineChars="200" w:firstLine="562"/>
        <w:outlineLvl w:val="2"/>
        <w:rPr>
          <w:rFonts w:ascii="Times New Roman" w:eastAsia="宋体" w:hAnsi="Times New Roman" w:cs="Times New Roman"/>
          <w:b/>
          <w:bCs/>
          <w:color w:val="000000"/>
          <w:sz w:val="28"/>
          <w:szCs w:val="28"/>
        </w:rPr>
      </w:pPr>
      <w:r>
        <w:rPr>
          <w:rFonts w:ascii="Times New Roman" w:eastAsia="宋体" w:hAnsi="Times New Roman" w:cs="Times New Roman"/>
          <w:b/>
          <w:bCs/>
          <w:color w:val="000000"/>
          <w:sz w:val="28"/>
          <w:szCs w:val="28"/>
        </w:rPr>
        <w:t xml:space="preserve">6. </w:t>
      </w:r>
      <w:r>
        <w:rPr>
          <w:rFonts w:ascii="Times New Roman" w:eastAsia="宋体" w:hAnsi="Times New Roman" w:cs="Times New Roman"/>
          <w:b/>
          <w:bCs/>
          <w:color w:val="000000"/>
          <w:sz w:val="28"/>
          <w:szCs w:val="28"/>
        </w:rPr>
        <w:t>研究生就业发展</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博士毕业生就业率</w:t>
      </w:r>
      <w:r>
        <w:rPr>
          <w:rFonts w:ascii="Times New Roman" w:eastAsia="宋体" w:hAnsi="Times New Roman" w:cs="Times New Roman"/>
          <w:kern w:val="0"/>
          <w:sz w:val="24"/>
          <w:szCs w:val="24"/>
        </w:rPr>
        <w:t>100%</w:t>
      </w:r>
      <w:r>
        <w:rPr>
          <w:rFonts w:ascii="Times New Roman" w:eastAsia="宋体" w:hAnsi="Times New Roman" w:cs="Times New Roman"/>
          <w:kern w:val="0"/>
          <w:sz w:val="24"/>
          <w:szCs w:val="24"/>
        </w:rPr>
        <w:t>、硕士毕业生就业率（含升学）</w:t>
      </w:r>
      <w:r>
        <w:rPr>
          <w:rFonts w:ascii="Times New Roman" w:eastAsia="宋体" w:hAnsi="Times New Roman" w:cs="Times New Roman"/>
          <w:kern w:val="0"/>
          <w:sz w:val="24"/>
          <w:szCs w:val="24"/>
        </w:rPr>
        <w:t>100%</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2020</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就业情况见表</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。学生就业去向主要有：高校、党政机关、金融机构、非金融国有企业、民营企业等。</w:t>
      </w:r>
    </w:p>
    <w:p w:rsidR="003F622B" w:rsidRDefault="00392E9E">
      <w:pPr>
        <w:spacing w:line="520" w:lineRule="exact"/>
        <w:ind w:firstLineChars="200" w:firstLine="480"/>
        <w:jc w:val="center"/>
        <w:rPr>
          <w:rFonts w:ascii="Times New Roman" w:eastAsia="宋体" w:hAnsi="Times New Roman" w:cs="Times New Roman"/>
          <w:color w:val="000000"/>
          <w:sz w:val="28"/>
          <w:szCs w:val="28"/>
        </w:rPr>
      </w:pPr>
      <w:r>
        <w:rPr>
          <w:rFonts w:ascii="Times New Roman" w:eastAsia="宋体" w:hAnsi="Times New Roman" w:cs="Times New Roman"/>
          <w:sz w:val="24"/>
          <w:szCs w:val="24"/>
        </w:rPr>
        <w:t>表</w:t>
      </w: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2020</w:t>
      </w:r>
      <w:r>
        <w:rPr>
          <w:rFonts w:ascii="Times New Roman" w:eastAsia="宋体" w:hAnsi="Times New Roman" w:cs="Times New Roman"/>
          <w:sz w:val="24"/>
          <w:szCs w:val="24"/>
        </w:rPr>
        <w:t>年管理科学与工程毕业生就业情况</w:t>
      </w:r>
    </w:p>
    <w:tbl>
      <w:tblPr>
        <w:tblW w:w="843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1"/>
        <w:gridCol w:w="1193"/>
        <w:gridCol w:w="1686"/>
        <w:gridCol w:w="1843"/>
        <w:gridCol w:w="1361"/>
        <w:gridCol w:w="1222"/>
      </w:tblGrid>
      <w:tr w:rsidR="003F622B">
        <w:trPr>
          <w:cantSplit/>
          <w:trHeight w:val="441"/>
        </w:trPr>
        <w:tc>
          <w:tcPr>
            <w:tcW w:w="1131" w:type="dxa"/>
            <w:vMerge w:val="restart"/>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学位类别</w:t>
            </w:r>
          </w:p>
        </w:tc>
        <w:tc>
          <w:tcPr>
            <w:tcW w:w="1193" w:type="dxa"/>
            <w:vMerge w:val="restart"/>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毕业生数</w:t>
            </w:r>
          </w:p>
        </w:tc>
        <w:tc>
          <w:tcPr>
            <w:tcW w:w="4890" w:type="dxa"/>
            <w:gridSpan w:val="3"/>
            <w:vAlign w:val="center"/>
          </w:tcPr>
          <w:p w:rsidR="003F622B" w:rsidRDefault="00392E9E">
            <w:pPr>
              <w:snapToGrid w:val="0"/>
              <w:jc w:val="center"/>
              <w:rPr>
                <w:rFonts w:ascii="Times New Roman" w:eastAsia="宋体" w:hAnsi="Times New Roman" w:cs="Times New Roman"/>
                <w:szCs w:val="21"/>
              </w:rPr>
            </w:pPr>
            <w:r>
              <w:rPr>
                <w:rFonts w:ascii="Times New Roman" w:eastAsia="宋体" w:hAnsi="Times New Roman" w:cs="Times New Roman"/>
                <w:szCs w:val="21"/>
              </w:rPr>
              <w:t>就业情况（人数及比例）</w:t>
            </w:r>
          </w:p>
        </w:tc>
        <w:tc>
          <w:tcPr>
            <w:tcW w:w="1222" w:type="dxa"/>
            <w:vMerge w:val="restart"/>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未就业</w:t>
            </w:r>
          </w:p>
        </w:tc>
      </w:tr>
      <w:tr w:rsidR="003F622B">
        <w:trPr>
          <w:cantSplit/>
          <w:trHeight w:val="441"/>
        </w:trPr>
        <w:tc>
          <w:tcPr>
            <w:tcW w:w="1131" w:type="dxa"/>
            <w:vMerge/>
            <w:vAlign w:val="center"/>
          </w:tcPr>
          <w:p w:rsidR="003F622B" w:rsidRDefault="003F622B">
            <w:pPr>
              <w:snapToGrid w:val="0"/>
              <w:rPr>
                <w:rFonts w:ascii="Times New Roman" w:eastAsia="宋体" w:hAnsi="Times New Roman" w:cs="Times New Roman"/>
                <w:szCs w:val="21"/>
              </w:rPr>
            </w:pPr>
          </w:p>
        </w:tc>
        <w:tc>
          <w:tcPr>
            <w:tcW w:w="1193" w:type="dxa"/>
            <w:vMerge/>
            <w:vAlign w:val="center"/>
          </w:tcPr>
          <w:p w:rsidR="003F622B" w:rsidRDefault="003F622B">
            <w:pPr>
              <w:snapToGrid w:val="0"/>
              <w:rPr>
                <w:rFonts w:ascii="Times New Roman" w:eastAsia="宋体" w:hAnsi="Times New Roman" w:cs="Times New Roman"/>
                <w:szCs w:val="21"/>
              </w:rPr>
            </w:pPr>
          </w:p>
        </w:tc>
        <w:tc>
          <w:tcPr>
            <w:tcW w:w="1686"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签就业协议</w:t>
            </w:r>
          </w:p>
        </w:tc>
        <w:tc>
          <w:tcPr>
            <w:tcW w:w="1843" w:type="dxa"/>
            <w:vAlign w:val="center"/>
          </w:tcPr>
          <w:p w:rsidR="003F622B" w:rsidRDefault="00392E9E">
            <w:pPr>
              <w:snapToGrid w:val="0"/>
              <w:jc w:val="center"/>
              <w:rPr>
                <w:rFonts w:ascii="Times New Roman" w:eastAsia="宋体" w:hAnsi="Times New Roman" w:cs="Times New Roman"/>
                <w:szCs w:val="21"/>
              </w:rPr>
            </w:pPr>
            <w:r>
              <w:rPr>
                <w:rFonts w:ascii="Times New Roman" w:eastAsia="宋体" w:hAnsi="Times New Roman" w:cs="Times New Roman"/>
                <w:szCs w:val="21"/>
              </w:rPr>
              <w:t>升学（或博士后）</w:t>
            </w:r>
          </w:p>
        </w:tc>
        <w:tc>
          <w:tcPr>
            <w:tcW w:w="1361"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灵活创业</w:t>
            </w:r>
          </w:p>
        </w:tc>
        <w:tc>
          <w:tcPr>
            <w:tcW w:w="1222" w:type="dxa"/>
            <w:vMerge/>
            <w:vAlign w:val="center"/>
          </w:tcPr>
          <w:p w:rsidR="003F622B" w:rsidRDefault="003F622B">
            <w:pPr>
              <w:snapToGrid w:val="0"/>
              <w:rPr>
                <w:rFonts w:ascii="Times New Roman" w:eastAsia="宋体" w:hAnsi="Times New Roman" w:cs="Times New Roman"/>
                <w:szCs w:val="21"/>
              </w:rPr>
            </w:pPr>
          </w:p>
        </w:tc>
      </w:tr>
      <w:tr w:rsidR="003F622B">
        <w:trPr>
          <w:cantSplit/>
          <w:trHeight w:val="441"/>
        </w:trPr>
        <w:tc>
          <w:tcPr>
            <w:tcW w:w="1131"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硕士</w:t>
            </w:r>
          </w:p>
        </w:tc>
        <w:tc>
          <w:tcPr>
            <w:tcW w:w="1193"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20</w:t>
            </w:r>
          </w:p>
        </w:tc>
        <w:tc>
          <w:tcPr>
            <w:tcW w:w="1686"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szCs w:val="21"/>
              </w:rPr>
              <w:t>（</w:t>
            </w:r>
            <w:r>
              <w:rPr>
                <w:rFonts w:ascii="Times New Roman" w:eastAsia="宋体" w:hAnsi="Times New Roman" w:cs="Times New Roman"/>
                <w:szCs w:val="21"/>
              </w:rPr>
              <w:t>75%</w:t>
            </w:r>
            <w:r>
              <w:rPr>
                <w:rFonts w:ascii="Times New Roman" w:eastAsia="宋体" w:hAnsi="Times New Roman" w:cs="Times New Roman"/>
                <w:szCs w:val="21"/>
              </w:rPr>
              <w:t>）</w:t>
            </w:r>
          </w:p>
        </w:tc>
        <w:tc>
          <w:tcPr>
            <w:tcW w:w="1843" w:type="dxa"/>
            <w:vAlign w:val="center"/>
          </w:tcPr>
          <w:p w:rsidR="003F622B" w:rsidRDefault="00392E9E">
            <w:pPr>
              <w:snapToGrid w:val="0"/>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w:t>
            </w:r>
          </w:p>
        </w:tc>
        <w:tc>
          <w:tcPr>
            <w:tcW w:w="1361"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szCs w:val="21"/>
              </w:rPr>
              <w:t>20%</w:t>
            </w:r>
            <w:r>
              <w:rPr>
                <w:rFonts w:ascii="Times New Roman" w:eastAsia="宋体" w:hAnsi="Times New Roman" w:cs="Times New Roman"/>
                <w:szCs w:val="21"/>
              </w:rPr>
              <w:t>）</w:t>
            </w:r>
          </w:p>
        </w:tc>
        <w:tc>
          <w:tcPr>
            <w:tcW w:w="1222"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0</w:t>
            </w:r>
          </w:p>
        </w:tc>
      </w:tr>
      <w:tr w:rsidR="003F622B">
        <w:trPr>
          <w:cantSplit/>
          <w:trHeight w:val="454"/>
        </w:trPr>
        <w:tc>
          <w:tcPr>
            <w:tcW w:w="1131"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博士</w:t>
            </w:r>
          </w:p>
        </w:tc>
        <w:tc>
          <w:tcPr>
            <w:tcW w:w="1193"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4</w:t>
            </w:r>
          </w:p>
        </w:tc>
        <w:tc>
          <w:tcPr>
            <w:tcW w:w="1686"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szCs w:val="21"/>
              </w:rPr>
              <w:t>100%</w:t>
            </w:r>
            <w:r>
              <w:rPr>
                <w:rFonts w:ascii="Times New Roman" w:eastAsia="宋体" w:hAnsi="Times New Roman" w:cs="Times New Roman"/>
                <w:szCs w:val="21"/>
              </w:rPr>
              <w:t>）</w:t>
            </w:r>
          </w:p>
        </w:tc>
        <w:tc>
          <w:tcPr>
            <w:tcW w:w="1843" w:type="dxa"/>
            <w:vAlign w:val="center"/>
          </w:tcPr>
          <w:p w:rsidR="003F622B" w:rsidRDefault="00392E9E">
            <w:pPr>
              <w:snapToGrid w:val="0"/>
              <w:jc w:val="center"/>
              <w:rPr>
                <w:rFonts w:ascii="Times New Roman" w:eastAsia="宋体" w:hAnsi="Times New Roman" w:cs="Times New Roman"/>
                <w:szCs w:val="21"/>
              </w:rPr>
            </w:pPr>
            <w:r>
              <w:rPr>
                <w:rFonts w:ascii="Times New Roman" w:eastAsia="宋体" w:hAnsi="Times New Roman" w:cs="Times New Roman"/>
                <w:szCs w:val="21"/>
              </w:rPr>
              <w:t>0</w:t>
            </w:r>
            <w:r>
              <w:rPr>
                <w:rFonts w:ascii="Times New Roman" w:eastAsia="宋体" w:hAnsi="Times New Roman" w:cs="Times New Roman"/>
                <w:szCs w:val="21"/>
              </w:rPr>
              <w:t>（</w:t>
            </w:r>
            <w:r>
              <w:rPr>
                <w:rFonts w:ascii="Times New Roman" w:eastAsia="宋体" w:hAnsi="Times New Roman" w:cs="Times New Roman"/>
                <w:szCs w:val="21"/>
              </w:rPr>
              <w:t>0%</w:t>
            </w:r>
            <w:r>
              <w:rPr>
                <w:rFonts w:ascii="Times New Roman" w:eastAsia="宋体" w:hAnsi="Times New Roman" w:cs="Times New Roman"/>
                <w:szCs w:val="21"/>
              </w:rPr>
              <w:t>）</w:t>
            </w:r>
          </w:p>
        </w:tc>
        <w:tc>
          <w:tcPr>
            <w:tcW w:w="1361"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0</w:t>
            </w:r>
            <w:r>
              <w:rPr>
                <w:rFonts w:ascii="Times New Roman" w:eastAsia="宋体" w:hAnsi="Times New Roman" w:cs="Times New Roman"/>
                <w:szCs w:val="21"/>
              </w:rPr>
              <w:t>（</w:t>
            </w:r>
            <w:r>
              <w:rPr>
                <w:rFonts w:ascii="Times New Roman" w:eastAsia="宋体" w:hAnsi="Times New Roman" w:cs="Times New Roman"/>
                <w:szCs w:val="21"/>
              </w:rPr>
              <w:t>0%</w:t>
            </w:r>
            <w:r>
              <w:rPr>
                <w:rFonts w:ascii="Times New Roman" w:eastAsia="宋体" w:hAnsi="Times New Roman" w:cs="Times New Roman"/>
                <w:szCs w:val="21"/>
              </w:rPr>
              <w:t>）</w:t>
            </w:r>
          </w:p>
        </w:tc>
        <w:tc>
          <w:tcPr>
            <w:tcW w:w="1222" w:type="dxa"/>
            <w:vAlign w:val="center"/>
          </w:tcPr>
          <w:p w:rsidR="003F622B" w:rsidRDefault="00392E9E">
            <w:pPr>
              <w:snapToGrid w:val="0"/>
              <w:rPr>
                <w:rFonts w:ascii="Times New Roman" w:eastAsia="宋体" w:hAnsi="Times New Roman" w:cs="Times New Roman"/>
                <w:szCs w:val="21"/>
              </w:rPr>
            </w:pPr>
            <w:r>
              <w:rPr>
                <w:rFonts w:ascii="Times New Roman" w:eastAsia="宋体" w:hAnsi="Times New Roman" w:cs="Times New Roman"/>
                <w:szCs w:val="21"/>
              </w:rPr>
              <w:t>0</w:t>
            </w:r>
          </w:p>
        </w:tc>
      </w:tr>
    </w:tbl>
    <w:p w:rsidR="003F622B" w:rsidRDefault="00392E9E">
      <w:pPr>
        <w:spacing w:line="520" w:lineRule="exact"/>
        <w:ind w:firstLineChars="200" w:firstLine="562"/>
        <w:outlineLvl w:val="2"/>
        <w:rPr>
          <w:rFonts w:ascii="Times New Roman" w:eastAsia="宋体" w:hAnsi="Times New Roman" w:cs="Times New Roman"/>
          <w:b/>
          <w:bCs/>
          <w:color w:val="000000"/>
          <w:sz w:val="28"/>
          <w:szCs w:val="28"/>
        </w:rPr>
      </w:pPr>
      <w:r>
        <w:rPr>
          <w:rFonts w:ascii="Times New Roman" w:eastAsia="宋体" w:hAnsi="Times New Roman" w:cs="Times New Roman"/>
          <w:b/>
          <w:bCs/>
          <w:color w:val="000000"/>
          <w:sz w:val="28"/>
          <w:szCs w:val="28"/>
        </w:rPr>
        <w:t xml:space="preserve">7. </w:t>
      </w:r>
      <w:r>
        <w:rPr>
          <w:rFonts w:ascii="Times New Roman" w:eastAsia="宋体" w:hAnsi="Times New Roman" w:cs="Times New Roman"/>
          <w:b/>
          <w:bCs/>
          <w:color w:val="000000"/>
          <w:sz w:val="28"/>
          <w:szCs w:val="28"/>
        </w:rPr>
        <w:t>社会服务</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本授权点</w:t>
      </w:r>
      <w:r>
        <w:rPr>
          <w:rFonts w:ascii="Times New Roman" w:eastAsia="宋体" w:hAnsi="Times New Roman" w:cs="Times New Roman"/>
          <w:kern w:val="0"/>
          <w:sz w:val="24"/>
          <w:szCs w:val="24"/>
        </w:rPr>
        <w:t>依托自身特色优势，围绕地方经济发展问题，向社会各界开展咨询服务，持续把科研转化为生产力。</w:t>
      </w:r>
    </w:p>
    <w:p w:rsidR="003F622B" w:rsidRDefault="00392E9E">
      <w:pPr>
        <w:widowControl/>
        <w:spacing w:line="52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服务山西经济转型，成功打造</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三晋智库</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品牌。学科持续出版的系列蓝皮书《山西资源型经济转型发展报告》，聚焦于热点问题，为服务山西地方经济建设发挥了智囊团和思想库作用。</w:t>
      </w:r>
    </w:p>
    <w:p w:rsidR="003F622B" w:rsidRDefault="00392E9E">
      <w:pPr>
        <w:widowControl/>
        <w:spacing w:line="520" w:lineRule="exact"/>
        <w:ind w:firstLineChars="200" w:firstLine="480"/>
        <w:rPr>
          <w:rFonts w:ascii="Times New Roman" w:hAnsi="Times New Roman" w:cs="Times New Roman"/>
          <w:kern w:val="0"/>
          <w:sz w:val="24"/>
          <w:szCs w:val="24"/>
        </w:rPr>
      </w:pPr>
      <w:r>
        <w:rPr>
          <w:rFonts w:ascii="Times New Roman" w:eastAsia="宋体" w:hAnsi="Times New Roman" w:cs="Times New Roman"/>
          <w:kern w:val="0"/>
          <w:sz w:val="24"/>
          <w:szCs w:val="24"/>
        </w:rPr>
        <w:t>持续深化产学研合作，提升社会服务能力。学科持续为山西焦煤、快成物流、顾得医药等大型企业提供培训和咨询服务，为企业增收达</w:t>
      </w:r>
      <w:r>
        <w:rPr>
          <w:rFonts w:ascii="Times New Roman" w:eastAsia="宋体" w:hAnsi="Times New Roman" w:cs="Times New Roman"/>
          <w:kern w:val="0"/>
          <w:sz w:val="24"/>
          <w:szCs w:val="24"/>
        </w:rPr>
        <w:t>3000</w:t>
      </w:r>
      <w:r>
        <w:rPr>
          <w:rFonts w:ascii="Times New Roman" w:eastAsia="宋体" w:hAnsi="Times New Roman" w:cs="Times New Roman"/>
          <w:kern w:val="0"/>
          <w:sz w:val="24"/>
          <w:szCs w:val="24"/>
        </w:rPr>
        <w:t>万元。学科组织和参与了多次国家级贫困县退出和城市困难职工解困脱困的第三方评估工作，为建立脱贫攻坚及城市贫困问题长效机制提出了政策建议。</w:t>
      </w:r>
    </w:p>
    <w:p w:rsidR="003F622B" w:rsidRDefault="00392E9E">
      <w:pPr>
        <w:pStyle w:val="2"/>
        <w:ind w:firstLine="562"/>
        <w:rPr>
          <w:rFonts w:ascii="Times New Roman" w:hAnsi="Times New Roman" w:cs="Times New Roman"/>
        </w:rPr>
      </w:pPr>
      <w:r>
        <w:rPr>
          <w:rFonts w:ascii="Times New Roman" w:hAnsi="Times New Roman" w:cs="Times New Roman"/>
        </w:rPr>
        <w:t>三、学位授权点建设存在的问题</w:t>
      </w:r>
    </w:p>
    <w:p w:rsidR="003F622B" w:rsidRDefault="00392E9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尽管</w:t>
      </w:r>
      <w:r>
        <w:rPr>
          <w:rFonts w:ascii="Times New Roman" w:eastAsia="宋体" w:hAnsi="Times New Roman" w:cs="Times New Roman" w:hint="eastAsia"/>
          <w:sz w:val="24"/>
          <w:szCs w:val="24"/>
        </w:rPr>
        <w:t>本授权点</w:t>
      </w:r>
      <w:r>
        <w:rPr>
          <w:rFonts w:ascii="Times New Roman" w:eastAsia="宋体" w:hAnsi="Times New Roman" w:cs="Times New Roman"/>
          <w:sz w:val="24"/>
          <w:szCs w:val="24"/>
        </w:rPr>
        <w:t>在各个方面取得不错的成绩，但仍存在一些问题。</w:t>
      </w:r>
    </w:p>
    <w:p w:rsidR="003F622B" w:rsidRDefault="00392E9E">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1</w:t>
      </w:r>
      <w:r>
        <w:rPr>
          <w:rFonts w:ascii="Times New Roman" w:eastAsia="宋体" w:hAnsi="Times New Roman" w:cs="Times New Roman"/>
          <w:b/>
          <w:bCs/>
          <w:sz w:val="24"/>
          <w:szCs w:val="24"/>
        </w:rPr>
        <w:t>）学科研究方向趋于稳定，但协同效果有待加强。</w:t>
      </w:r>
      <w:r>
        <w:rPr>
          <w:rFonts w:ascii="Times New Roman" w:eastAsia="宋体" w:hAnsi="Times New Roman" w:cs="Times New Roman"/>
          <w:sz w:val="24"/>
          <w:szCs w:val="24"/>
        </w:rPr>
        <w:t>四个研究方向之间的协同互动较少，没有形成强有效的合力。</w:t>
      </w:r>
    </w:p>
    <w:p w:rsidR="003F622B" w:rsidRDefault="00392E9E">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w:t>
      </w:r>
      <w:r>
        <w:rPr>
          <w:rFonts w:ascii="Times New Roman" w:eastAsia="宋体" w:hAnsi="Times New Roman" w:cs="Times New Roman"/>
          <w:b/>
          <w:bCs/>
          <w:sz w:val="24"/>
          <w:szCs w:val="24"/>
        </w:rPr>
        <w:t>2</w:t>
      </w:r>
      <w:r>
        <w:rPr>
          <w:rFonts w:ascii="Times New Roman" w:eastAsia="宋体" w:hAnsi="Times New Roman" w:cs="Times New Roman"/>
          <w:b/>
          <w:bCs/>
          <w:sz w:val="24"/>
          <w:szCs w:val="24"/>
        </w:rPr>
        <w:t>）学科团队成员成长较快，但缺乏国内外知名的学术领军人才。</w:t>
      </w:r>
      <w:r>
        <w:rPr>
          <w:rFonts w:ascii="Times New Roman" w:eastAsia="宋体" w:hAnsi="Times New Roman" w:cs="Times New Roman"/>
          <w:sz w:val="24"/>
          <w:szCs w:val="24"/>
        </w:rPr>
        <w:t>学科目前承担的国家级和省部级项目均以面上和青年项目为主。与国内一流高校的管理科学与工程学科相比，由于缺乏知名学术领军人才，各类重点和重大项目立项较少，团队建设与</w:t>
      </w:r>
      <w:r>
        <w:rPr>
          <w:rFonts w:ascii="Times New Roman" w:eastAsia="宋体" w:hAnsi="Times New Roman" w:cs="Times New Roman"/>
          <w:sz w:val="24"/>
          <w:szCs w:val="24"/>
        </w:rPr>
        <w:t>“</w:t>
      </w:r>
      <w:r>
        <w:rPr>
          <w:rFonts w:ascii="Times New Roman" w:eastAsia="宋体" w:hAnsi="Times New Roman" w:cs="Times New Roman"/>
          <w:sz w:val="24"/>
          <w:szCs w:val="24"/>
        </w:rPr>
        <w:t>双一流</w:t>
      </w:r>
      <w:r>
        <w:rPr>
          <w:rFonts w:ascii="Times New Roman" w:eastAsia="宋体" w:hAnsi="Times New Roman" w:cs="Times New Roman"/>
          <w:sz w:val="24"/>
          <w:szCs w:val="24"/>
        </w:rPr>
        <w:t>”</w:t>
      </w:r>
      <w:r>
        <w:rPr>
          <w:rFonts w:ascii="Times New Roman" w:eastAsia="宋体" w:hAnsi="Times New Roman" w:cs="Times New Roman"/>
          <w:sz w:val="24"/>
          <w:szCs w:val="24"/>
        </w:rPr>
        <w:t>学科高要求相比存在一定差距。</w:t>
      </w:r>
    </w:p>
    <w:p w:rsidR="003F622B" w:rsidRDefault="00392E9E">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3</w:t>
      </w:r>
      <w:r>
        <w:rPr>
          <w:rFonts w:ascii="Times New Roman" w:eastAsia="宋体" w:hAnsi="Times New Roman" w:cs="Times New Roman"/>
          <w:b/>
          <w:bCs/>
          <w:sz w:val="24"/>
          <w:szCs w:val="24"/>
        </w:rPr>
        <w:t>）学科的智库品牌效应形成，但社会服务的深度和广度有待加强。</w:t>
      </w:r>
      <w:r>
        <w:rPr>
          <w:rFonts w:ascii="Times New Roman" w:eastAsia="宋体" w:hAnsi="Times New Roman" w:cs="Times New Roman"/>
          <w:sz w:val="24"/>
          <w:szCs w:val="24"/>
        </w:rPr>
        <w:t>学科聚焦山西资源型经济转型发展和企业亟需解决的问题，对推动山西高质量发展的新路径与新举措提出了诸多政策建议。但是，仍然缺少有重要影响力的政策咨询报告，而且在成果转化方面尚未形成稳定的研究模式和成熟的研究团队。</w:t>
      </w:r>
    </w:p>
    <w:p w:rsidR="003F622B" w:rsidRDefault="00392E9E">
      <w:pPr>
        <w:pStyle w:val="2"/>
        <w:ind w:firstLine="562"/>
        <w:rPr>
          <w:rFonts w:ascii="Times New Roman" w:hAnsi="Times New Roman" w:cs="Times New Roman"/>
        </w:rPr>
      </w:pPr>
      <w:r>
        <w:rPr>
          <w:rFonts w:ascii="Times New Roman" w:hAnsi="Times New Roman" w:cs="Times New Roman"/>
        </w:rPr>
        <w:t>四、</w:t>
      </w:r>
      <w:r>
        <w:rPr>
          <w:rFonts w:ascii="Times New Roman" w:hAnsi="Times New Roman" w:cs="Times New Roman"/>
        </w:rPr>
        <w:t>2021</w:t>
      </w:r>
      <w:r>
        <w:rPr>
          <w:rFonts w:ascii="Times New Roman" w:hAnsi="Times New Roman" w:cs="Times New Roman"/>
        </w:rPr>
        <w:t>年学位授权点建设计划</w:t>
      </w:r>
    </w:p>
    <w:p w:rsidR="003F622B" w:rsidRDefault="00392E9E">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针对存在的问题，学科</w:t>
      </w:r>
      <w:r>
        <w:rPr>
          <w:rFonts w:ascii="Times New Roman" w:eastAsia="宋体" w:hAnsi="Times New Roman" w:cs="Times New Roman" w:hint="eastAsia"/>
          <w:sz w:val="24"/>
          <w:szCs w:val="24"/>
        </w:rPr>
        <w:t>管理</w:t>
      </w:r>
      <w:r>
        <w:rPr>
          <w:rFonts w:ascii="Times New Roman" w:eastAsia="宋体" w:hAnsi="Times New Roman" w:cs="Times New Roman"/>
          <w:sz w:val="24"/>
          <w:szCs w:val="24"/>
        </w:rPr>
        <w:t>团队制定了建设改进计划，包括发展目标和保障措施。</w:t>
      </w:r>
    </w:p>
    <w:p w:rsidR="003F622B" w:rsidRDefault="00392E9E">
      <w:pPr>
        <w:spacing w:line="520" w:lineRule="exact"/>
        <w:ind w:firstLineChars="200" w:firstLine="562"/>
        <w:outlineLvl w:val="2"/>
        <w:rPr>
          <w:rFonts w:ascii="Times New Roman" w:eastAsia="宋体" w:hAnsi="Times New Roman" w:cs="Times New Roman"/>
          <w:b/>
          <w:bCs/>
          <w:color w:val="000000"/>
          <w:sz w:val="28"/>
          <w:szCs w:val="28"/>
        </w:rPr>
      </w:pPr>
      <w:bookmarkStart w:id="3" w:name="_Toc530587783"/>
      <w:r>
        <w:rPr>
          <w:rFonts w:ascii="Times New Roman" w:eastAsia="宋体" w:hAnsi="Times New Roman" w:cs="Times New Roman"/>
          <w:b/>
          <w:bCs/>
          <w:color w:val="000000"/>
          <w:sz w:val="28"/>
          <w:szCs w:val="28"/>
        </w:rPr>
        <w:t xml:space="preserve">1. </w:t>
      </w:r>
      <w:r>
        <w:rPr>
          <w:rFonts w:ascii="Times New Roman" w:eastAsia="宋体" w:hAnsi="Times New Roman" w:cs="Times New Roman"/>
          <w:b/>
          <w:bCs/>
          <w:color w:val="000000"/>
          <w:sz w:val="28"/>
          <w:szCs w:val="28"/>
        </w:rPr>
        <w:t>发展目标</w:t>
      </w:r>
      <w:bookmarkEnd w:id="3"/>
    </w:p>
    <w:p w:rsidR="003F622B" w:rsidRDefault="00392E9E">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本授权点</w:t>
      </w:r>
      <w:bookmarkStart w:id="4" w:name="_GoBack"/>
      <w:bookmarkEnd w:id="4"/>
      <w:r>
        <w:rPr>
          <w:rFonts w:ascii="Times New Roman" w:eastAsia="宋体" w:hAnsi="Times New Roman" w:cs="Times New Roman"/>
          <w:sz w:val="24"/>
          <w:szCs w:val="24"/>
        </w:rPr>
        <w:t>将持续加大投入，优化人才队伍，创新科学研究，夯实人才培养，深化社会服务，争取早日进入国家队。（</w:t>
      </w:r>
      <w:r>
        <w:rPr>
          <w:rFonts w:ascii="Times New Roman" w:eastAsia="宋体" w:hAnsi="Times New Roman" w:cs="Times New Roman" w:hint="eastAsia"/>
          <w:sz w:val="24"/>
          <w:szCs w:val="24"/>
        </w:rPr>
        <w:t>1</w:t>
      </w:r>
      <w:r>
        <w:rPr>
          <w:rFonts w:ascii="Times New Roman" w:eastAsia="宋体" w:hAnsi="Times New Roman" w:cs="Times New Roman"/>
          <w:sz w:val="24"/>
          <w:szCs w:val="24"/>
        </w:rPr>
        <w:t>）强化知识互补与融合，抓住学科发力点，主动出击，针对</w:t>
      </w:r>
      <w:r>
        <w:rPr>
          <w:rFonts w:ascii="Times New Roman" w:eastAsia="宋体" w:hAnsi="Times New Roman" w:cs="Times New Roman"/>
          <w:sz w:val="24"/>
          <w:szCs w:val="24"/>
        </w:rPr>
        <w:t>“</w:t>
      </w:r>
      <w:r>
        <w:rPr>
          <w:rFonts w:ascii="Times New Roman" w:eastAsia="宋体" w:hAnsi="Times New Roman" w:cs="Times New Roman"/>
          <w:sz w:val="24"/>
          <w:szCs w:val="24"/>
        </w:rPr>
        <w:t>新文科</w:t>
      </w:r>
      <w:r>
        <w:rPr>
          <w:rFonts w:ascii="Times New Roman" w:eastAsia="宋体" w:hAnsi="Times New Roman" w:cs="Times New Roman"/>
          <w:sz w:val="24"/>
          <w:szCs w:val="24"/>
        </w:rPr>
        <w:t>”</w:t>
      </w:r>
      <w:r>
        <w:rPr>
          <w:rFonts w:ascii="Times New Roman" w:eastAsia="宋体" w:hAnsi="Times New Roman" w:cs="Times New Roman"/>
          <w:sz w:val="24"/>
          <w:szCs w:val="24"/>
        </w:rPr>
        <w:t>背景下的新问题和新技术，推进学科知识的延伸和交叉。（</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积极引育高端领军人才，争取重点项目有突破、代表作质量和数量有提高、国家级获奖和教学成果积累有进展。（</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发挥</w:t>
      </w:r>
      <w:r>
        <w:rPr>
          <w:rFonts w:ascii="Times New Roman" w:eastAsia="宋体" w:hAnsi="Times New Roman" w:cs="Times New Roman"/>
          <w:sz w:val="24"/>
          <w:szCs w:val="24"/>
        </w:rPr>
        <w:t>“</w:t>
      </w:r>
      <w:r>
        <w:rPr>
          <w:rFonts w:ascii="Times New Roman" w:eastAsia="宋体" w:hAnsi="Times New Roman" w:cs="Times New Roman"/>
          <w:sz w:val="24"/>
          <w:szCs w:val="24"/>
        </w:rPr>
        <w:t>山西大学管理与决策研究所</w:t>
      </w:r>
      <w:r>
        <w:rPr>
          <w:rFonts w:ascii="Times New Roman" w:eastAsia="宋体" w:hAnsi="Times New Roman" w:cs="Times New Roman"/>
          <w:sz w:val="24"/>
          <w:szCs w:val="24"/>
        </w:rPr>
        <w:t>”</w:t>
      </w:r>
      <w:r>
        <w:rPr>
          <w:rFonts w:ascii="Times New Roman" w:eastAsia="宋体" w:hAnsi="Times New Roman" w:cs="Times New Roman"/>
          <w:sz w:val="24"/>
          <w:szCs w:val="24"/>
        </w:rPr>
        <w:t>国家级智库作用，持续深化与政企的产学研合作，提升社会服务能力。</w:t>
      </w:r>
    </w:p>
    <w:p w:rsidR="003F622B" w:rsidRDefault="00392E9E">
      <w:pPr>
        <w:spacing w:line="520" w:lineRule="exact"/>
        <w:ind w:firstLineChars="200" w:firstLine="562"/>
        <w:outlineLvl w:val="2"/>
        <w:rPr>
          <w:rFonts w:ascii="Times New Roman" w:eastAsia="宋体" w:hAnsi="Times New Roman" w:cs="Times New Roman"/>
          <w:b/>
          <w:bCs/>
          <w:color w:val="000000"/>
          <w:sz w:val="28"/>
          <w:szCs w:val="28"/>
        </w:rPr>
      </w:pPr>
      <w:bookmarkStart w:id="5" w:name="_Toc530587784"/>
      <w:r>
        <w:rPr>
          <w:rFonts w:ascii="Times New Roman" w:eastAsia="宋体" w:hAnsi="Times New Roman" w:cs="Times New Roman"/>
          <w:b/>
          <w:bCs/>
          <w:color w:val="000000"/>
          <w:sz w:val="28"/>
          <w:szCs w:val="28"/>
        </w:rPr>
        <w:t xml:space="preserve">2. </w:t>
      </w:r>
      <w:r>
        <w:rPr>
          <w:rFonts w:ascii="Times New Roman" w:eastAsia="宋体" w:hAnsi="Times New Roman" w:cs="Times New Roman"/>
          <w:b/>
          <w:bCs/>
          <w:color w:val="000000"/>
          <w:sz w:val="28"/>
          <w:szCs w:val="28"/>
        </w:rPr>
        <w:t>保障措施</w:t>
      </w:r>
      <w:bookmarkEnd w:id="5"/>
    </w:p>
    <w:p w:rsidR="003F622B" w:rsidRDefault="00392E9E">
      <w:pPr>
        <w:spacing w:line="52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1</w:t>
      </w:r>
      <w:r>
        <w:rPr>
          <w:rFonts w:ascii="Times New Roman" w:eastAsia="宋体" w:hAnsi="Times New Roman" w:cs="Times New Roman"/>
          <w:b/>
          <w:bCs/>
          <w:sz w:val="24"/>
          <w:szCs w:val="24"/>
        </w:rPr>
        <w:t>）夯实研究方向，明确定位，强化重点，凸显特色</w:t>
      </w:r>
    </w:p>
    <w:p w:rsidR="003F622B" w:rsidRDefault="00392E9E">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本授权点</w:t>
      </w:r>
      <w:r>
        <w:rPr>
          <w:rFonts w:ascii="Times New Roman" w:eastAsia="宋体" w:hAnsi="Times New Roman" w:cs="Times New Roman"/>
          <w:sz w:val="24"/>
          <w:szCs w:val="24"/>
        </w:rPr>
        <w:t>将进一步夯实研究方向，突出重点，体现学科的价值和特色，实现</w:t>
      </w:r>
      <w:r>
        <w:rPr>
          <w:rFonts w:ascii="Times New Roman" w:eastAsia="宋体" w:hAnsi="Times New Roman" w:cs="Times New Roman"/>
          <w:sz w:val="24"/>
          <w:szCs w:val="24"/>
        </w:rPr>
        <w:t>“</w:t>
      </w:r>
      <w:r>
        <w:rPr>
          <w:rFonts w:ascii="Times New Roman" w:eastAsia="宋体" w:hAnsi="Times New Roman" w:cs="Times New Roman"/>
          <w:sz w:val="24"/>
          <w:szCs w:val="24"/>
        </w:rPr>
        <w:t>顶天立地</w:t>
      </w:r>
      <w:r>
        <w:rPr>
          <w:rFonts w:ascii="Times New Roman" w:eastAsia="宋体" w:hAnsi="Times New Roman" w:cs="Times New Roman"/>
          <w:sz w:val="24"/>
          <w:szCs w:val="24"/>
        </w:rPr>
        <w:t>”</w:t>
      </w:r>
      <w:r>
        <w:rPr>
          <w:rFonts w:ascii="Times New Roman" w:eastAsia="宋体" w:hAnsi="Times New Roman" w:cs="Times New Roman"/>
          <w:sz w:val="24"/>
          <w:szCs w:val="24"/>
        </w:rPr>
        <w:t>。紧跟国际前沿研究，发表</w:t>
      </w:r>
      <w:r>
        <w:rPr>
          <w:rFonts w:ascii="Times New Roman" w:eastAsia="宋体" w:hAnsi="Times New Roman" w:cs="Times New Roman"/>
          <w:sz w:val="24"/>
          <w:szCs w:val="24"/>
        </w:rPr>
        <w:t>TOP</w:t>
      </w:r>
      <w:r>
        <w:rPr>
          <w:rFonts w:ascii="Times New Roman" w:eastAsia="宋体" w:hAnsi="Times New Roman" w:cs="Times New Roman"/>
          <w:sz w:val="24"/>
          <w:szCs w:val="24"/>
        </w:rPr>
        <w:t>高水平学术论文；同时围绕山西资源型经济转型发展问题提供决策咨询，着力打造</w:t>
      </w:r>
      <w:r>
        <w:rPr>
          <w:rFonts w:ascii="Times New Roman" w:eastAsia="宋体" w:hAnsi="Times New Roman" w:cs="Times New Roman"/>
          <w:sz w:val="24"/>
          <w:szCs w:val="24"/>
        </w:rPr>
        <w:t>“</w:t>
      </w:r>
      <w:r>
        <w:rPr>
          <w:rFonts w:ascii="Times New Roman" w:eastAsia="宋体" w:hAnsi="Times New Roman" w:cs="Times New Roman"/>
          <w:sz w:val="24"/>
          <w:szCs w:val="24"/>
        </w:rPr>
        <w:t>三晋智库</w:t>
      </w:r>
      <w:r>
        <w:rPr>
          <w:rFonts w:ascii="Times New Roman" w:eastAsia="宋体" w:hAnsi="Times New Roman" w:cs="Times New Roman"/>
          <w:sz w:val="24"/>
          <w:szCs w:val="24"/>
        </w:rPr>
        <w:t>”</w:t>
      </w:r>
      <w:r>
        <w:rPr>
          <w:rFonts w:ascii="Times New Roman" w:eastAsia="宋体" w:hAnsi="Times New Roman" w:cs="Times New Roman"/>
          <w:sz w:val="24"/>
          <w:szCs w:val="24"/>
        </w:rPr>
        <w:t>品牌。</w:t>
      </w:r>
    </w:p>
    <w:p w:rsidR="003F622B" w:rsidRDefault="00392E9E">
      <w:pPr>
        <w:spacing w:line="52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多渠道、多形式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加强师资队伍建设和交流与合作</w:t>
      </w:r>
    </w:p>
    <w:p w:rsidR="003F622B" w:rsidRDefault="00392E9E">
      <w:pPr>
        <w:spacing w:line="5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成立项目指导委员会，实行一对一专家辅导和论证；通过国家公派、山西省筹、学校自筹等选派骨干进行学术交流，在实验平台、论文撰写等方面开展深度合作；鼓励和支持团队成员参加、举办高水平学术会议，邀请知名专家进行学术</w:t>
      </w:r>
      <w:r>
        <w:rPr>
          <w:rFonts w:ascii="Times New Roman" w:eastAsia="宋体" w:hAnsi="Times New Roman" w:cs="Times New Roman"/>
          <w:bCs/>
          <w:sz w:val="24"/>
          <w:szCs w:val="24"/>
        </w:rPr>
        <w:lastRenderedPageBreak/>
        <w:t>讲座和短期授课。</w:t>
      </w:r>
    </w:p>
    <w:p w:rsidR="003F622B" w:rsidRDefault="00392E9E">
      <w:pPr>
        <w:spacing w:line="52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3</w:t>
      </w:r>
      <w:r>
        <w:rPr>
          <w:rFonts w:ascii="Times New Roman" w:eastAsia="宋体" w:hAnsi="Times New Roman" w:cs="Times New Roman"/>
          <w:b/>
          <w:bCs/>
          <w:sz w:val="24"/>
          <w:szCs w:val="24"/>
        </w:rPr>
        <w:t>）创新人才培养模式，提升人才培养质量</w:t>
      </w:r>
    </w:p>
    <w:p w:rsidR="003F622B" w:rsidRDefault="00392E9E">
      <w:pPr>
        <w:spacing w:line="5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发挥现有三位</w:t>
      </w:r>
      <w:r>
        <w:rPr>
          <w:rFonts w:ascii="Times New Roman" w:eastAsia="宋体" w:hAnsi="Times New Roman" w:cs="Times New Roman"/>
          <w:bCs/>
          <w:sz w:val="24"/>
          <w:szCs w:val="24"/>
        </w:rPr>
        <w:t>“</w:t>
      </w:r>
      <w:r>
        <w:rPr>
          <w:rFonts w:ascii="Times New Roman" w:eastAsia="宋体" w:hAnsi="Times New Roman" w:cs="Times New Roman"/>
          <w:bCs/>
          <w:sz w:val="24"/>
          <w:szCs w:val="24"/>
        </w:rPr>
        <w:t>百人计划</w:t>
      </w:r>
      <w:r>
        <w:rPr>
          <w:rFonts w:ascii="Times New Roman" w:eastAsia="宋体" w:hAnsi="Times New Roman" w:cs="Times New Roman"/>
          <w:bCs/>
          <w:sz w:val="24"/>
          <w:szCs w:val="24"/>
        </w:rPr>
        <w:t>”</w:t>
      </w:r>
      <w:r>
        <w:rPr>
          <w:rFonts w:ascii="Times New Roman" w:eastAsia="宋体" w:hAnsi="Times New Roman" w:cs="Times New Roman"/>
          <w:bCs/>
          <w:sz w:val="24"/>
          <w:szCs w:val="24"/>
        </w:rPr>
        <w:t>学者的学术资源优势，与国外优秀导师建立合作培养模式，拓宽学生学术视野；提升学生参加学术会议和研修的资助力度；积极开展学术报告和短期课程，规范学术报告制度，增强学生理论和实践能力。</w:t>
      </w:r>
    </w:p>
    <w:p w:rsidR="003F622B" w:rsidRDefault="00392E9E">
      <w:pPr>
        <w:spacing w:line="52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4</w:t>
      </w:r>
      <w:r>
        <w:rPr>
          <w:rFonts w:ascii="Times New Roman" w:eastAsia="宋体" w:hAnsi="Times New Roman" w:cs="Times New Roman"/>
          <w:b/>
          <w:bCs/>
          <w:sz w:val="24"/>
          <w:szCs w:val="24"/>
        </w:rPr>
        <w:t>）积极开展政产学研全方位合作，加强社会服务和知识转化</w:t>
      </w:r>
    </w:p>
    <w:p w:rsidR="003F622B" w:rsidRDefault="00392E9E">
      <w:pPr>
        <w:spacing w:line="520" w:lineRule="exact"/>
        <w:ind w:firstLineChars="200" w:firstLine="480"/>
        <w:rPr>
          <w:rFonts w:ascii="Times New Roman" w:hAnsi="Times New Roman" w:cs="Times New Roman"/>
          <w:sz w:val="28"/>
          <w:szCs w:val="28"/>
        </w:rPr>
      </w:pPr>
      <w:r>
        <w:rPr>
          <w:rFonts w:ascii="Times New Roman" w:eastAsia="宋体" w:hAnsi="Times New Roman" w:cs="Times New Roman" w:hint="eastAsia"/>
          <w:bCs/>
          <w:sz w:val="24"/>
          <w:szCs w:val="24"/>
        </w:rPr>
        <w:t>持续深化产学研合作，服务山西经济转型，合作过程中充分吸纳各类高层次人才，建立完善的社会服务团队。同时，通过《管理与决</w:t>
      </w:r>
      <w:r w:rsidRPr="00A30074">
        <w:rPr>
          <w:rFonts w:ascii="Times New Roman" w:eastAsia="宋体" w:hAnsi="Times New Roman" w:cs="Times New Roman" w:hint="eastAsia"/>
          <w:bCs/>
          <w:sz w:val="24"/>
          <w:szCs w:val="24"/>
        </w:rPr>
        <w:t>策》</w:t>
      </w:r>
      <w:r w:rsidR="000F65ED" w:rsidRPr="00A30074">
        <w:rPr>
          <w:rFonts w:ascii="Times New Roman" w:eastAsia="宋体" w:hAnsi="Times New Roman" w:cs="Times New Roman" w:hint="eastAsia"/>
          <w:bCs/>
          <w:sz w:val="24"/>
          <w:szCs w:val="24"/>
        </w:rPr>
        <w:t>集刊</w:t>
      </w:r>
      <w:r w:rsidRPr="00A30074">
        <w:rPr>
          <w:rFonts w:ascii="Times New Roman" w:eastAsia="宋体" w:hAnsi="Times New Roman" w:cs="Times New Roman" w:hint="eastAsia"/>
          <w:bCs/>
          <w:sz w:val="24"/>
          <w:szCs w:val="24"/>
        </w:rPr>
        <w:t>提高学位点</w:t>
      </w:r>
      <w:r>
        <w:rPr>
          <w:rFonts w:ascii="Times New Roman" w:eastAsia="宋体" w:hAnsi="Times New Roman" w:cs="Times New Roman" w:hint="eastAsia"/>
          <w:bCs/>
          <w:sz w:val="24"/>
          <w:szCs w:val="24"/>
        </w:rPr>
        <w:t>的影响力和知名度；持续出版《山西资源型经济转型发展报告》蓝皮书，向相关部门提交决策提案和咨询报告；深入企业开展培训服务。</w:t>
      </w:r>
    </w:p>
    <w:sectPr w:rsidR="003F622B" w:rsidSect="003F622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CC6" w:rsidRDefault="00F51CC6" w:rsidP="003F622B">
      <w:r>
        <w:separator/>
      </w:r>
    </w:p>
  </w:endnote>
  <w:endnote w:type="continuationSeparator" w:id="1">
    <w:p w:rsidR="00F51CC6" w:rsidRDefault="00F51CC6" w:rsidP="003F6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655544"/>
      <w:docPartObj>
        <w:docPartGallery w:val="AutoText"/>
      </w:docPartObj>
    </w:sdtPr>
    <w:sdtContent>
      <w:p w:rsidR="003F622B" w:rsidRDefault="007C7EAA">
        <w:pPr>
          <w:pStyle w:val="a4"/>
          <w:jc w:val="center"/>
        </w:pPr>
        <w:r>
          <w:fldChar w:fldCharType="begin"/>
        </w:r>
        <w:r w:rsidR="00392E9E">
          <w:instrText>PAGE   \* MERGEFORMAT</w:instrText>
        </w:r>
        <w:r>
          <w:fldChar w:fldCharType="separate"/>
        </w:r>
        <w:r w:rsidR="00A30074" w:rsidRPr="00A30074">
          <w:rPr>
            <w:noProof/>
            <w:lang w:val="zh-CN"/>
          </w:rPr>
          <w:t>8</w:t>
        </w:r>
        <w:r>
          <w:fldChar w:fldCharType="end"/>
        </w:r>
      </w:p>
    </w:sdtContent>
  </w:sdt>
  <w:p w:rsidR="003F622B" w:rsidRDefault="003F62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CC6" w:rsidRDefault="00F51CC6" w:rsidP="003F622B">
      <w:r>
        <w:separator/>
      </w:r>
    </w:p>
  </w:footnote>
  <w:footnote w:type="continuationSeparator" w:id="1">
    <w:p w:rsidR="00F51CC6" w:rsidRDefault="00F51CC6" w:rsidP="003F62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E7A"/>
    <w:rsid w:val="00036E15"/>
    <w:rsid w:val="000D1BE2"/>
    <w:rsid w:val="000F65ED"/>
    <w:rsid w:val="00111B29"/>
    <w:rsid w:val="00123643"/>
    <w:rsid w:val="00135118"/>
    <w:rsid w:val="00143733"/>
    <w:rsid w:val="00181BAA"/>
    <w:rsid w:val="00204E40"/>
    <w:rsid w:val="002A6EE7"/>
    <w:rsid w:val="002B1A30"/>
    <w:rsid w:val="00303EF9"/>
    <w:rsid w:val="0035011D"/>
    <w:rsid w:val="00392E9E"/>
    <w:rsid w:val="003B2C1A"/>
    <w:rsid w:val="003E0425"/>
    <w:rsid w:val="003F06C5"/>
    <w:rsid w:val="003F622B"/>
    <w:rsid w:val="00404B9A"/>
    <w:rsid w:val="004063E2"/>
    <w:rsid w:val="00431EE2"/>
    <w:rsid w:val="004361A6"/>
    <w:rsid w:val="004B4B68"/>
    <w:rsid w:val="004D12BC"/>
    <w:rsid w:val="004E64ED"/>
    <w:rsid w:val="005724CE"/>
    <w:rsid w:val="00636BAF"/>
    <w:rsid w:val="00642B2D"/>
    <w:rsid w:val="00651B2B"/>
    <w:rsid w:val="0065518C"/>
    <w:rsid w:val="0066516B"/>
    <w:rsid w:val="006D4E7A"/>
    <w:rsid w:val="00715748"/>
    <w:rsid w:val="00761748"/>
    <w:rsid w:val="007702F7"/>
    <w:rsid w:val="007B183F"/>
    <w:rsid w:val="007C1247"/>
    <w:rsid w:val="007C60AC"/>
    <w:rsid w:val="007C7EAA"/>
    <w:rsid w:val="008108B2"/>
    <w:rsid w:val="00837834"/>
    <w:rsid w:val="008A6F40"/>
    <w:rsid w:val="008C4830"/>
    <w:rsid w:val="008E2635"/>
    <w:rsid w:val="008F1151"/>
    <w:rsid w:val="009573BE"/>
    <w:rsid w:val="00A01579"/>
    <w:rsid w:val="00A30074"/>
    <w:rsid w:val="00AE579B"/>
    <w:rsid w:val="00B17A9F"/>
    <w:rsid w:val="00BB2145"/>
    <w:rsid w:val="00BD1208"/>
    <w:rsid w:val="00C53241"/>
    <w:rsid w:val="00CB0BB6"/>
    <w:rsid w:val="00CF36EE"/>
    <w:rsid w:val="00D03211"/>
    <w:rsid w:val="00D16E42"/>
    <w:rsid w:val="00D2029C"/>
    <w:rsid w:val="00D628E5"/>
    <w:rsid w:val="00D716D4"/>
    <w:rsid w:val="00D86BF4"/>
    <w:rsid w:val="00E954D2"/>
    <w:rsid w:val="00EB7165"/>
    <w:rsid w:val="00F04E6F"/>
    <w:rsid w:val="00F246C7"/>
    <w:rsid w:val="00F27CFF"/>
    <w:rsid w:val="00F51CC6"/>
    <w:rsid w:val="00F64B36"/>
    <w:rsid w:val="00FC7F1A"/>
    <w:rsid w:val="00FE6713"/>
    <w:rsid w:val="58C01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22B"/>
    <w:pPr>
      <w:widowControl w:val="0"/>
      <w:jc w:val="both"/>
    </w:pPr>
    <w:rPr>
      <w:kern w:val="2"/>
      <w:sz w:val="21"/>
      <w:szCs w:val="22"/>
    </w:rPr>
  </w:style>
  <w:style w:type="paragraph" w:styleId="2">
    <w:name w:val="heading 2"/>
    <w:basedOn w:val="a"/>
    <w:next w:val="a"/>
    <w:link w:val="2Char"/>
    <w:uiPriority w:val="9"/>
    <w:unhideWhenUsed/>
    <w:qFormat/>
    <w:rsid w:val="003F622B"/>
    <w:pPr>
      <w:keepNext/>
      <w:keepLines/>
      <w:spacing w:line="520" w:lineRule="exact"/>
      <w:ind w:firstLineChars="200" w:firstLine="200"/>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622B"/>
    <w:rPr>
      <w:sz w:val="18"/>
      <w:szCs w:val="18"/>
    </w:rPr>
  </w:style>
  <w:style w:type="paragraph" w:styleId="a4">
    <w:name w:val="footer"/>
    <w:basedOn w:val="a"/>
    <w:link w:val="Char0"/>
    <w:uiPriority w:val="99"/>
    <w:unhideWhenUsed/>
    <w:rsid w:val="003F622B"/>
    <w:pPr>
      <w:tabs>
        <w:tab w:val="center" w:pos="4153"/>
        <w:tab w:val="right" w:pos="8306"/>
      </w:tabs>
      <w:snapToGrid w:val="0"/>
      <w:jc w:val="left"/>
    </w:pPr>
    <w:rPr>
      <w:sz w:val="18"/>
      <w:szCs w:val="18"/>
    </w:rPr>
  </w:style>
  <w:style w:type="paragraph" w:styleId="a5">
    <w:name w:val="header"/>
    <w:basedOn w:val="a"/>
    <w:link w:val="Char1"/>
    <w:uiPriority w:val="99"/>
    <w:unhideWhenUsed/>
    <w:rsid w:val="003F62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F622B"/>
    <w:rPr>
      <w:sz w:val="18"/>
      <w:szCs w:val="18"/>
    </w:rPr>
  </w:style>
  <w:style w:type="character" w:customStyle="1" w:styleId="Char0">
    <w:name w:val="页脚 Char"/>
    <w:basedOn w:val="a0"/>
    <w:link w:val="a4"/>
    <w:uiPriority w:val="99"/>
    <w:rsid w:val="003F622B"/>
    <w:rPr>
      <w:sz w:val="18"/>
      <w:szCs w:val="18"/>
    </w:rPr>
  </w:style>
  <w:style w:type="character" w:customStyle="1" w:styleId="2Char">
    <w:name w:val="标题 2 Char"/>
    <w:basedOn w:val="a0"/>
    <w:link w:val="2"/>
    <w:uiPriority w:val="9"/>
    <w:rsid w:val="003F622B"/>
    <w:rPr>
      <w:rFonts w:asciiTheme="majorHAnsi" w:eastAsiaTheme="majorEastAsia" w:hAnsiTheme="majorHAnsi" w:cstheme="majorBidi"/>
      <w:b/>
      <w:bCs/>
      <w:sz w:val="28"/>
      <w:szCs w:val="32"/>
    </w:rPr>
  </w:style>
  <w:style w:type="character" w:customStyle="1" w:styleId="Char">
    <w:name w:val="批注框文本 Char"/>
    <w:basedOn w:val="a0"/>
    <w:link w:val="a3"/>
    <w:uiPriority w:val="99"/>
    <w:semiHidden/>
    <w:qFormat/>
    <w:rsid w:val="003F622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76EB6-8674-43F4-AE10-19891CFA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5029</Words>
  <Characters>5215</Characters>
  <Application>Microsoft Office Word</Application>
  <DocSecurity>0</DocSecurity>
  <Lines>219</Lines>
  <Paragraphs>105</Paragraphs>
  <ScaleCrop>false</ScaleCrop>
  <Company>Hewlett-Packard Company</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Windows 用户</cp:lastModifiedBy>
  <cp:revision>27</cp:revision>
  <cp:lastPrinted>2021-03-28T00:33:00Z</cp:lastPrinted>
  <dcterms:created xsi:type="dcterms:W3CDTF">2021-03-22T12:20:00Z</dcterms:created>
  <dcterms:modified xsi:type="dcterms:W3CDTF">2021-04-06T07:11:00Z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52CCA9D073B9420B99FDA392CBC7582B</vt:lpwstr>
  </property>
</Properties>
</file>